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1"/>
        <w:gridCol w:w="756"/>
        <w:gridCol w:w="201"/>
      </w:tblGrid>
      <w:tr w:rsidR="00281B38" w:rsidRPr="00281B38" w14:paraId="296D3D80" w14:textId="77777777" w:rsidTr="000B36A3">
        <w:trPr>
          <w:tblCellSpacing w:w="15" w:type="dxa"/>
        </w:trPr>
        <w:tc>
          <w:tcPr>
            <w:tcW w:w="0" w:type="auto"/>
            <w:vMerge w:val="restart"/>
            <w:tcMar>
              <w:top w:w="0" w:type="dxa"/>
              <w:left w:w="0" w:type="dxa"/>
              <w:bottom w:w="45" w:type="dxa"/>
              <w:right w:w="720" w:type="dxa"/>
            </w:tcMar>
          </w:tcPr>
          <w:p w14:paraId="12539C63" w14:textId="424435BE" w:rsidR="00281B38" w:rsidRPr="00281B38" w:rsidRDefault="00281B38" w:rsidP="00281B38">
            <w:pPr>
              <w:spacing w:before="120"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tcPr>
          <w:p w14:paraId="2CA348B3" w14:textId="6F26E5A1" w:rsidR="00281B38" w:rsidRPr="00281B38" w:rsidRDefault="00281B38" w:rsidP="00281B38">
            <w:pPr>
              <w:spacing w:before="120" w:after="0" w:line="240" w:lineRule="auto"/>
              <w:rPr>
                <w:rFonts w:ascii="Verdana" w:eastAsia="Times New Roman" w:hAnsi="Verdana" w:cs="Times New Roman"/>
                <w:color w:val="333333"/>
                <w:sz w:val="15"/>
                <w:szCs w:val="15"/>
                <w:lang w:eastAsia="de-DE"/>
              </w:rPr>
            </w:pPr>
          </w:p>
        </w:tc>
        <w:tc>
          <w:tcPr>
            <w:tcW w:w="0" w:type="auto"/>
            <w:tcMar>
              <w:top w:w="0" w:type="dxa"/>
              <w:left w:w="0" w:type="dxa"/>
              <w:bottom w:w="0" w:type="dxa"/>
              <w:right w:w="150" w:type="dxa"/>
            </w:tcMar>
          </w:tcPr>
          <w:p w14:paraId="0F28C07D" w14:textId="644611D4" w:rsidR="00281B38" w:rsidRPr="00281B38" w:rsidRDefault="00281B38" w:rsidP="00281B38">
            <w:pPr>
              <w:spacing w:before="120" w:after="0" w:line="240" w:lineRule="auto"/>
              <w:rPr>
                <w:rFonts w:ascii="Verdana" w:eastAsia="Times New Roman" w:hAnsi="Verdana" w:cs="Times New Roman"/>
                <w:color w:val="333333"/>
                <w:sz w:val="15"/>
                <w:szCs w:val="15"/>
                <w:lang w:eastAsia="de-DE"/>
              </w:rPr>
            </w:pPr>
          </w:p>
        </w:tc>
      </w:tr>
      <w:tr w:rsidR="00281B38" w:rsidRPr="00281B38" w14:paraId="02B8F7FB" w14:textId="77777777" w:rsidTr="000B36A3">
        <w:trPr>
          <w:tblCellSpacing w:w="15" w:type="dxa"/>
        </w:trPr>
        <w:tc>
          <w:tcPr>
            <w:tcW w:w="0" w:type="auto"/>
            <w:vMerge/>
            <w:vAlign w:val="center"/>
          </w:tcPr>
          <w:p w14:paraId="5EDD12EB" w14:textId="77777777" w:rsidR="00281B38" w:rsidRPr="00281B38" w:rsidRDefault="00281B38" w:rsidP="00281B3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tcPr>
          <w:p w14:paraId="622B9CC8" w14:textId="0944D460" w:rsidR="00281B38" w:rsidRPr="00281B38" w:rsidRDefault="00281B38" w:rsidP="00281B38">
            <w:pPr>
              <w:spacing w:before="120" w:after="0" w:line="240" w:lineRule="auto"/>
              <w:rPr>
                <w:rFonts w:ascii="Verdana" w:eastAsia="Times New Roman" w:hAnsi="Verdana" w:cs="Times New Roman"/>
                <w:color w:val="333333"/>
                <w:sz w:val="15"/>
                <w:szCs w:val="15"/>
                <w:lang w:eastAsia="de-DE"/>
              </w:rPr>
            </w:pPr>
          </w:p>
        </w:tc>
        <w:tc>
          <w:tcPr>
            <w:tcW w:w="0" w:type="auto"/>
            <w:tcMar>
              <w:top w:w="0" w:type="dxa"/>
              <w:left w:w="0" w:type="dxa"/>
              <w:bottom w:w="0" w:type="dxa"/>
              <w:right w:w="150" w:type="dxa"/>
            </w:tcMar>
          </w:tcPr>
          <w:p w14:paraId="3E2A9593" w14:textId="4DCE955C" w:rsidR="00281B38" w:rsidRPr="00281B38" w:rsidRDefault="00281B38" w:rsidP="00281B38">
            <w:pPr>
              <w:spacing w:before="120" w:after="0" w:line="240" w:lineRule="auto"/>
              <w:rPr>
                <w:rFonts w:ascii="Verdana" w:eastAsia="Times New Roman" w:hAnsi="Verdana" w:cs="Times New Roman"/>
                <w:color w:val="333333"/>
                <w:sz w:val="15"/>
                <w:szCs w:val="15"/>
                <w:lang w:eastAsia="de-DE"/>
              </w:rPr>
            </w:pPr>
          </w:p>
        </w:tc>
      </w:tr>
      <w:tr w:rsidR="00281B38" w:rsidRPr="00281B38" w14:paraId="6E526A88" w14:textId="77777777" w:rsidTr="00281B38">
        <w:trPr>
          <w:tblCellSpacing w:w="15" w:type="dxa"/>
        </w:trPr>
        <w:tc>
          <w:tcPr>
            <w:tcW w:w="0" w:type="auto"/>
            <w:gridSpan w:val="3"/>
            <w:vAlign w:val="center"/>
            <w:hideMark/>
          </w:tcPr>
          <w:p w14:paraId="0D0E07EB" w14:textId="77777777" w:rsidR="00281B38" w:rsidRPr="00281B38" w:rsidRDefault="00281B38" w:rsidP="00281B38">
            <w:pPr>
              <w:spacing w:before="120" w:after="0" w:line="240" w:lineRule="auto"/>
              <w:rPr>
                <w:rFonts w:ascii="Verdana" w:eastAsia="Times New Roman" w:hAnsi="Verdana" w:cs="Times New Roman"/>
                <w:color w:val="333333"/>
                <w:sz w:val="15"/>
                <w:szCs w:val="15"/>
                <w:lang w:eastAsia="de-DE"/>
              </w:rPr>
            </w:pPr>
          </w:p>
        </w:tc>
      </w:tr>
    </w:tbl>
    <w:p w14:paraId="4D26F1C8" w14:textId="2F6C80B7" w:rsidR="00F2218D" w:rsidRDefault="00F2218D" w:rsidP="00281B38"/>
    <w:p w14:paraId="7092BEE6" w14:textId="4848CF9F" w:rsidR="00281B38" w:rsidRDefault="00281B38" w:rsidP="00281B38">
      <w:pPr>
        <w:rPr>
          <w:rFonts w:ascii="Verdana" w:hAnsi="Verdana"/>
          <w:color w:val="333333"/>
          <w:sz w:val="17"/>
          <w:szCs w:val="17"/>
          <w:shd w:val="clear" w:color="auto" w:fill="FFFFFF"/>
        </w:rPr>
      </w:pPr>
      <w:r>
        <w:rPr>
          <w:rFonts w:ascii="Verdana" w:hAnsi="Verdana"/>
          <w:color w:val="333333"/>
          <w:sz w:val="17"/>
          <w:szCs w:val="17"/>
          <w:shd w:val="clear" w:color="auto" w:fill="FFFFFF"/>
        </w:rPr>
        <w:t>GASTBEITRAG (Blogartikel) auf Webseite im Auftragstitel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ABFOLGE: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Bilder: 1-2 Stück von pixabay.de aussuchen und Links hier einfügen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Hauptüberschrift zum Thema (in H1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Nebenüberschrift zum Thema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 xml:space="preserve">Externer Link (Trust-Link, nicht Wikipedia, keine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-Seiten und am besten auf </w:t>
      </w:r>
      <w:proofErr w:type="spellStart"/>
      <w:r>
        <w:rPr>
          <w:rFonts w:ascii="Verdana" w:hAnsi="Verdana"/>
          <w:color w:val="333333"/>
          <w:sz w:val="17"/>
          <w:szCs w:val="17"/>
          <w:shd w:val="clear" w:color="auto" w:fill="FFFFFF"/>
        </w:rPr>
        <w:t>LandingPage</w:t>
      </w:r>
      <w:proofErr w:type="spellEnd"/>
      <w:r>
        <w:rPr>
          <w:rFonts w:ascii="Verdana" w:hAnsi="Verdana"/>
          <w:color w:val="333333"/>
          <w:sz w:val="17"/>
          <w:szCs w:val="17"/>
          <w:shd w:val="clear" w:color="auto" w:fill="FFFFFF"/>
        </w:rPr>
        <w:t xml:space="preserve"> verlinken)</w:t>
      </w:r>
      <w:r>
        <w:rPr>
          <w:rFonts w:ascii="Verdana" w:hAnsi="Verdana"/>
          <w:color w:val="333333"/>
          <w:sz w:val="17"/>
          <w:szCs w:val="17"/>
        </w:rPr>
        <w:br/>
      </w:r>
      <w:r>
        <w:rPr>
          <w:rFonts w:ascii="Verdana" w:hAnsi="Verdana"/>
          <w:color w:val="333333"/>
          <w:sz w:val="17"/>
          <w:szCs w:val="17"/>
          <w:shd w:val="clear" w:color="auto" w:fill="FFFFFF"/>
        </w:rPr>
        <w:t>Interner Link (auf anderen Artikel von Gastseite verlinken)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Nebenüberschrift zum Thema des </w:t>
      </w:r>
      <w:proofErr w:type="spellStart"/>
      <w:r>
        <w:rPr>
          <w:rFonts w:ascii="Verdana" w:hAnsi="Verdana"/>
          <w:color w:val="333333"/>
          <w:sz w:val="17"/>
          <w:szCs w:val="17"/>
          <w:shd w:val="clear" w:color="auto" w:fill="FFFFFF"/>
        </w:rPr>
        <w:t>Hauptkeywords</w:t>
      </w:r>
      <w:proofErr w:type="spellEnd"/>
      <w:r>
        <w:rPr>
          <w:rFonts w:ascii="Verdana" w:hAnsi="Verdana"/>
          <w:color w:val="333333"/>
          <w:sz w:val="17"/>
          <w:szCs w:val="17"/>
          <w:shd w:val="clear" w:color="auto" w:fill="FFFFFF"/>
        </w:rPr>
        <w:t xml:space="preserve">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Externer Link (Anker-Text: „x“; Link-Ziel: „x“)</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500 Wörter</w:t>
      </w:r>
    </w:p>
    <w:p w14:paraId="2C51EA1E" w14:textId="6FBF3556" w:rsidR="00281B38" w:rsidRDefault="00281B38" w:rsidP="00281B38">
      <w:pPr>
        <w:rPr>
          <w:rFonts w:ascii="Verdana" w:hAnsi="Verdana"/>
          <w:color w:val="333333"/>
          <w:sz w:val="17"/>
          <w:szCs w:val="17"/>
          <w:shd w:val="clear" w:color="auto" w:fill="FFFFFF"/>
        </w:rPr>
      </w:pPr>
      <w:r>
        <w:rPr>
          <w:rFonts w:ascii="Verdana" w:hAnsi="Verdana"/>
          <w:color w:val="333333"/>
          <w:sz w:val="17"/>
          <w:szCs w:val="17"/>
          <w:shd w:val="clear" w:color="auto" w:fill="FFFFFF"/>
        </w:rPr>
        <w:t>2. Auftrag: Text für atv-quad-magazin.com</w:t>
      </w:r>
      <w:r>
        <w:rPr>
          <w:rFonts w:ascii="Verdana" w:hAnsi="Verdana"/>
          <w:color w:val="333333"/>
          <w:sz w:val="17"/>
          <w:szCs w:val="17"/>
        </w:rPr>
        <w:br/>
      </w:r>
      <w:r>
        <w:rPr>
          <w:rFonts w:ascii="Verdana" w:hAnsi="Verdana"/>
          <w:color w:val="333333"/>
          <w:sz w:val="17"/>
          <w:szCs w:val="17"/>
        </w:rPr>
        <w:br/>
      </w:r>
    </w:p>
    <w:p w14:paraId="79F48D92" w14:textId="35E81333" w:rsidR="00281B38" w:rsidRDefault="00281B38" w:rsidP="00281B38"/>
    <w:p w14:paraId="23355A6E" w14:textId="2F130955" w:rsidR="00281B38" w:rsidRDefault="00281B38" w:rsidP="00281B38">
      <w:r>
        <w:t xml:space="preserve">&lt;h1&gt;In Zeiten von Corona werden ATV- und </w:t>
      </w:r>
      <w:proofErr w:type="spellStart"/>
      <w:r>
        <w:t>Quard</w:t>
      </w:r>
      <w:proofErr w:type="spellEnd"/>
      <w:r>
        <w:t xml:space="preserve">-Touren immer beliebter – was braucht man um fahren zu </w:t>
      </w:r>
      <w:proofErr w:type="gramStart"/>
      <w:r>
        <w:t>können?&lt;</w:t>
      </w:r>
      <w:proofErr w:type="gramEnd"/>
      <w:r>
        <w:t>/h1&gt;</w:t>
      </w:r>
    </w:p>
    <w:p w14:paraId="0859BF66" w14:textId="76106466" w:rsidR="00281B38" w:rsidRDefault="00281B38" w:rsidP="00281B38"/>
    <w:p w14:paraId="6DE88DAB" w14:textId="6019CC4B" w:rsidR="00281B38" w:rsidRDefault="00281B38" w:rsidP="00281B38">
      <w:r>
        <w:t>&lt;p&gt;</w:t>
      </w:r>
      <w:r w:rsidR="004A76A0">
        <w:t xml:space="preserve">Quad-Fahren ist ein Mordsgaudi – und zwar nicht nur in Zeiten von Corona. Da die aktuelle Krise jedoch zu individualisierten Freizeitaktivitäten drängt, eignen sich Ausflüge in kleinen Grüppchen durch die wilde Natur Deutschlands hierfür sicherlich am besten. Doch wie steht es eigentlich um das Zubehör, abgesehen vom eigentlichen ATV oder Quad? Sprich: Was braucht es überhaupt, um die mit dem geländegängigen Vehikel in Mutter Natur zu begeben? Da es sich bei einem Quad um ein vierrädriges Gefährt handelt, benötigt der potenzielle Fahrer hierfür einen ganz regulären Führerschein der Klasse </w:t>
      </w:r>
      <w:r w:rsidR="00690002">
        <w:t>„</w:t>
      </w:r>
      <w:r w:rsidR="004A76A0">
        <w:t>B</w:t>
      </w:r>
      <w:r w:rsidR="00690002">
        <w:t>“</w:t>
      </w:r>
      <w:r w:rsidR="004A76A0">
        <w:t xml:space="preserve">. Ein Führerschein für Krafträder allein genügt in diesem Fall leider nicht. Einzige Ausnahme: Beim Quad handelt es sich um ein Leicht-Kfz, welches nicht schneller als 45 km/h fährt, beziehungsweise nicht mehr als 4 kW Nennleistung aufweist – dann genügt auch ein Führerschein der Klasse </w:t>
      </w:r>
      <w:r w:rsidR="00690002">
        <w:t>„</w:t>
      </w:r>
      <w:r w:rsidR="004A76A0">
        <w:t>AM</w:t>
      </w:r>
      <w:r w:rsidR="00690002">
        <w:t>“</w:t>
      </w:r>
      <w:r w:rsidR="004A76A0">
        <w:t xml:space="preserve">. </w:t>
      </w:r>
      <w:r w:rsidR="00690002">
        <w:t xml:space="preserve">Darüber hinaus kann das ATV oder Quad aber auch als sogenanntes „Zugfahrzeug“ zugelassen werden – in diesem Fall genügt dann ein Führerschein der Klasse „L“. Laut § 21a Absatz 2 der deutschen Straßenverkehrsordnung muss jeder Quad- oder ATV-Fahrer zudem einen geeigneten Helm tragen. Verfügt das Fahrzeug jedoch über entsprechende Sicherheitsgurte, kann auf einen Helm verzichtet werden. Seit dem 1. Juli 2014 besteht bei Quads und ATVs zudem eine Mitführungspflicht von Warndreieck und Schutzweste(n), jedoch nach Anzahl der mitfahrenden </w:t>
      </w:r>
      <w:proofErr w:type="gramStart"/>
      <w:r w:rsidR="00690002">
        <w:t>Personen.&lt;</w:t>
      </w:r>
      <w:proofErr w:type="gramEnd"/>
      <w:r w:rsidR="00690002">
        <w:t>/p&gt;</w:t>
      </w:r>
    </w:p>
    <w:p w14:paraId="58BF369B" w14:textId="3A9EBE96" w:rsidR="00690002" w:rsidRDefault="00690002" w:rsidP="00281B38"/>
    <w:p w14:paraId="77025801" w14:textId="59D0DE24" w:rsidR="00690002" w:rsidRDefault="00690002" w:rsidP="00281B38">
      <w:r>
        <w:lastRenderedPageBreak/>
        <w:t xml:space="preserve">&lt;h2&gt;Wie lernt man Quad-Fahren und ist das überhaupt </w:t>
      </w:r>
      <w:proofErr w:type="gramStart"/>
      <w:r>
        <w:t>sicher?&lt;</w:t>
      </w:r>
      <w:proofErr w:type="gramEnd"/>
      <w:r>
        <w:t>/h2&gt;</w:t>
      </w:r>
    </w:p>
    <w:p w14:paraId="3CE6E37E" w14:textId="00B23F81" w:rsidR="00690002" w:rsidRDefault="00690002" w:rsidP="00281B38"/>
    <w:p w14:paraId="18D70CB0" w14:textId="54F948DE" w:rsidR="005577ED" w:rsidRDefault="00690002" w:rsidP="00281B38">
      <w:r>
        <w:t>&lt;p&gt;</w:t>
      </w:r>
      <w:r w:rsidR="005577ED">
        <w:t xml:space="preserve">Experten raten jedem Fahrer, sich mindestens einen Tag lang vertraut mit der Technik seines Quads zu machen. Hier bieten sich vor allem abgesperrte Gelände an, auf denen das Fahrverhalten von Quads oder ATVs getestet und einstudiert werden kann. Der ADAC bietet darüber hinaus praktische </w:t>
      </w:r>
      <w:r w:rsidR="005577ED" w:rsidRPr="005577ED">
        <w:t>&lt;a href="</w:t>
      </w:r>
      <w:hyperlink r:id="rId6" w:history="1">
        <w:r w:rsidR="005577ED">
          <w:rPr>
            <w:rStyle w:val="Hyperlink"/>
          </w:rPr>
          <w:t>https://www.adac.de/produkte/fahrsicherheitstrainings/</w:t>
        </w:r>
      </w:hyperlink>
      <w:r w:rsidR="005577ED" w:rsidRPr="005577ED">
        <w:t>"&gt;</w:t>
      </w:r>
      <w:r w:rsidR="005577ED">
        <w:t>Fahrsicherheitstrainings</w:t>
      </w:r>
      <w:r w:rsidR="005577ED" w:rsidRPr="005577ED">
        <w:t>&lt;/a&gt;</w:t>
      </w:r>
      <w:r w:rsidR="005577ED">
        <w:t xml:space="preserve">, bei denen die Fahrverhalten verschiedener Fahrzeuge auf speziellen Teststrecken geübt werden können. Da die Fahreigenschaften von Quads und ATVs für Neulinge in der Regel gewöhnungsbedürftig sind, wird zudem angeraten, zunächst keine allzu großen Steigungen oder schwierige Gelände mit dem Vehikel zu durchsteuern. Da Quads in der Regel über kein Differenzial- oder Ausgleichsgetriebe verfügen, drehen die Räder in den Kurven oftmals unterschiedlich, was ein </w:t>
      </w:r>
      <w:r w:rsidR="001806F2">
        <w:t xml:space="preserve">schwer vorhersehbares Fahrverhalten nach sich zieht. </w:t>
      </w:r>
      <w:r w:rsidR="00D04905">
        <w:t xml:space="preserve">Daher empfiehlt es sich, sich bei der nächsten Quad-Tour mit erfahrenen Fahrern zu treffen und gemeinsam vorgeplante Wege zu befahren. Ein möglicher Event ist hierfür zum Beispiel das im September 2020 geplante Treffen der </w:t>
      </w:r>
      <w:r w:rsidR="00D04905" w:rsidRPr="00D04905">
        <w:t>&lt;a href="</w:t>
      </w:r>
      <w:hyperlink r:id="rId7" w:history="1">
        <w:r w:rsidR="00D04905">
          <w:rPr>
            <w:rStyle w:val="Hyperlink"/>
          </w:rPr>
          <w:t>https://atv-quad-magazin.com/erstes-treffen-der-quadfreunde-lavanttal-nun-im-september-geplant/</w:t>
        </w:r>
      </w:hyperlink>
      <w:r w:rsidR="00D04905" w:rsidRPr="00D04905">
        <w:t>"</w:t>
      </w:r>
      <w:r w:rsidR="00D04905" w:rsidRPr="00D04905">
        <w:t>&gt;</w:t>
      </w:r>
      <w:r w:rsidR="00D04905">
        <w:t xml:space="preserve">Quad-Freunde im Lavanttal in </w:t>
      </w:r>
      <w:r w:rsidR="000B36A3">
        <w:t>Kärnten</w:t>
      </w:r>
      <w:r w:rsidR="00D04905" w:rsidRPr="00D04905">
        <w:t>&lt;/a&gt;</w:t>
      </w:r>
      <w:r w:rsidR="00D04905">
        <w:t>.&lt;/p&gt;</w:t>
      </w:r>
    </w:p>
    <w:p w14:paraId="7ACA3C28" w14:textId="3B72D693" w:rsidR="00D04905" w:rsidRDefault="00D04905" w:rsidP="00281B38"/>
    <w:p w14:paraId="3F9E8B9C" w14:textId="552705CA" w:rsidR="00D04905" w:rsidRDefault="00D04905" w:rsidP="00281B38">
      <w:r>
        <w:t>&lt;h2&gt;</w:t>
      </w:r>
      <w:r w:rsidR="000B36A3">
        <w:t>Die Pausen während der Quad-Touren für spannende Games im Online Casino nutzen&lt;/h2&gt;</w:t>
      </w:r>
    </w:p>
    <w:p w14:paraId="55160859" w14:textId="494B22BC" w:rsidR="000B36A3" w:rsidRDefault="000B36A3" w:rsidP="00281B38"/>
    <w:p w14:paraId="62806F6B" w14:textId="7A5ECBE5" w:rsidR="000B36A3" w:rsidRDefault="000B36A3" w:rsidP="00281B38">
      <w:bookmarkStart w:id="0" w:name="_GoBack"/>
      <w:r>
        <w:t>&lt;p&gt;</w:t>
      </w:r>
      <w:r w:rsidR="0042791F">
        <w:t xml:space="preserve">Da Quad- und ATV-Fahren nicht nur für den Anfänger teils schweißtreibend und stellenweise anstrengend ist, sollten unterwegs genügend Pausen zu Regeneration eingelegt werden. Während sich alle Fahrer erholen und ins Sandwich beißen oder ein Schluck trinken, kann sich die Zeit auch in einem der vielen Anbieter aus dem Bestes Online Casinos vertrieben werden. Bei </w:t>
      </w:r>
      <w:r w:rsidR="0042791F" w:rsidRPr="0042791F">
        <w:t xml:space="preserve">&lt;a </w:t>
      </w:r>
      <w:proofErr w:type="spellStart"/>
      <w:r w:rsidR="0042791F" w:rsidRPr="0042791F">
        <w:t>href</w:t>
      </w:r>
      <w:proofErr w:type="spellEnd"/>
      <w:r w:rsidR="0042791F" w:rsidRPr="0042791F">
        <w:t>="https://www.casinojetzt.de.com/"&gt; Bestes Online Casinos&lt;/a&gt;</w:t>
      </w:r>
      <w:r w:rsidR="0042791F">
        <w:t xml:space="preserve"> handelt es sich um eine Online Casino Vergleichsseite, auf der die besten Slot- und Live-Games-Anbieter im Netz ausfindig gemacht und ausgewählt werden können. Darüber hinaus gibt die Webseite Auskunft darüber, bei welchem Online Casino Anbieter aktuell die lukrativsten Boni oder Cash-Backs ergattert werden können – ein Blick hier hin lohnt sich </w:t>
      </w:r>
      <w:proofErr w:type="gramStart"/>
      <w:r w:rsidR="0042791F">
        <w:t>also!&lt;</w:t>
      </w:r>
      <w:proofErr w:type="gramEnd"/>
      <w:r w:rsidR="0042791F">
        <w:t>/p&gt;</w:t>
      </w:r>
    </w:p>
    <w:bookmarkEnd w:id="0"/>
    <w:p w14:paraId="752BC630" w14:textId="4F476C3D" w:rsidR="005577ED" w:rsidRDefault="005577ED" w:rsidP="00281B38"/>
    <w:p w14:paraId="02105008" w14:textId="7CEC8647" w:rsidR="00D04905" w:rsidRDefault="00D04905" w:rsidP="00281B3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2"/>
        <w:gridCol w:w="2302"/>
        <w:gridCol w:w="4358"/>
      </w:tblGrid>
      <w:tr w:rsidR="0042791F" w:rsidRPr="0042791F" w14:paraId="21F12A43" w14:textId="77777777" w:rsidTr="0042791F">
        <w:trPr>
          <w:tblCellSpacing w:w="15" w:type="dxa"/>
        </w:trPr>
        <w:tc>
          <w:tcPr>
            <w:tcW w:w="0" w:type="auto"/>
            <w:vMerge w:val="restart"/>
            <w:tcMar>
              <w:top w:w="0" w:type="dxa"/>
              <w:left w:w="0" w:type="dxa"/>
              <w:bottom w:w="45" w:type="dxa"/>
              <w:right w:w="720" w:type="dxa"/>
            </w:tcMar>
            <w:hideMark/>
          </w:tcPr>
          <w:p w14:paraId="3AA26650" w14:textId="77777777" w:rsidR="0042791F" w:rsidRPr="0042791F" w:rsidRDefault="0042791F" w:rsidP="0042791F">
            <w:pPr>
              <w:rPr>
                <w:b/>
                <w:bCs/>
              </w:rPr>
            </w:pPr>
            <w:r w:rsidRPr="0042791F">
              <w:rPr>
                <w:b/>
                <w:bCs/>
              </w:rPr>
              <w:t>geforderte Keywords:</w:t>
            </w:r>
          </w:p>
        </w:tc>
        <w:tc>
          <w:tcPr>
            <w:tcW w:w="0" w:type="auto"/>
            <w:tcMar>
              <w:top w:w="0" w:type="dxa"/>
              <w:left w:w="0" w:type="dxa"/>
              <w:bottom w:w="0" w:type="dxa"/>
              <w:right w:w="720" w:type="dxa"/>
            </w:tcMar>
            <w:hideMark/>
          </w:tcPr>
          <w:p w14:paraId="033BE5BB" w14:textId="77777777" w:rsidR="0042791F" w:rsidRPr="0042791F" w:rsidRDefault="0042791F" w:rsidP="0042791F">
            <w:r w:rsidRPr="0042791F">
              <w:rPr>
                <w:b/>
                <w:bCs/>
              </w:rPr>
              <w:t>Bestes Online Casinos</w:t>
            </w:r>
          </w:p>
        </w:tc>
        <w:tc>
          <w:tcPr>
            <w:tcW w:w="0" w:type="auto"/>
            <w:tcMar>
              <w:top w:w="0" w:type="dxa"/>
              <w:left w:w="0" w:type="dxa"/>
              <w:bottom w:w="0" w:type="dxa"/>
              <w:right w:w="150" w:type="dxa"/>
            </w:tcMar>
            <w:hideMark/>
          </w:tcPr>
          <w:p w14:paraId="2BE8EDA2" w14:textId="79BE4DC1" w:rsidR="0042791F" w:rsidRPr="0042791F" w:rsidRDefault="0042791F" w:rsidP="0042791F">
            <w:r w:rsidRPr="0042791F">
              <w:t>genutzt: 0 Mal </w:t>
            </w:r>
            <w:r w:rsidRPr="0042791F">
              <w:drawing>
                <wp:inline distT="0" distB="0" distL="0" distR="0" wp14:anchorId="5FACC09B" wp14:editId="6BD8DDB5">
                  <wp:extent cx="153035" cy="15303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1"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2791F">
              <w:t xml:space="preserve"> (Zu erreichende </w:t>
            </w:r>
            <w:proofErr w:type="spellStart"/>
            <w:r w:rsidRPr="0042791F">
              <w:t>Keyworddichte</w:t>
            </w:r>
            <w:proofErr w:type="spellEnd"/>
            <w:r w:rsidRPr="0042791F">
              <w:t>: 2-3 Mal)</w:t>
            </w:r>
          </w:p>
        </w:tc>
      </w:tr>
      <w:tr w:rsidR="0042791F" w:rsidRPr="0042791F" w14:paraId="2A317F71" w14:textId="77777777" w:rsidTr="0042791F">
        <w:trPr>
          <w:tblCellSpacing w:w="15" w:type="dxa"/>
        </w:trPr>
        <w:tc>
          <w:tcPr>
            <w:tcW w:w="0" w:type="auto"/>
            <w:vMerge/>
            <w:vAlign w:val="center"/>
            <w:hideMark/>
          </w:tcPr>
          <w:p w14:paraId="3BEEFE9E" w14:textId="77777777" w:rsidR="0042791F" w:rsidRPr="0042791F" w:rsidRDefault="0042791F" w:rsidP="0042791F">
            <w:pPr>
              <w:rPr>
                <w:b/>
                <w:bCs/>
              </w:rPr>
            </w:pPr>
          </w:p>
        </w:tc>
        <w:tc>
          <w:tcPr>
            <w:tcW w:w="0" w:type="auto"/>
            <w:tcMar>
              <w:top w:w="0" w:type="dxa"/>
              <w:left w:w="0" w:type="dxa"/>
              <w:bottom w:w="0" w:type="dxa"/>
              <w:right w:w="720" w:type="dxa"/>
            </w:tcMar>
            <w:hideMark/>
          </w:tcPr>
          <w:p w14:paraId="5AAAC8AA" w14:textId="77777777" w:rsidR="0042791F" w:rsidRPr="0042791F" w:rsidRDefault="0042791F" w:rsidP="0042791F">
            <w:r w:rsidRPr="0042791F">
              <w:rPr>
                <w:b/>
                <w:bCs/>
              </w:rPr>
              <w:t>Online Casino</w:t>
            </w:r>
          </w:p>
        </w:tc>
        <w:tc>
          <w:tcPr>
            <w:tcW w:w="0" w:type="auto"/>
            <w:tcMar>
              <w:top w:w="0" w:type="dxa"/>
              <w:left w:w="0" w:type="dxa"/>
              <w:bottom w:w="0" w:type="dxa"/>
              <w:right w:w="150" w:type="dxa"/>
            </w:tcMar>
            <w:hideMark/>
          </w:tcPr>
          <w:p w14:paraId="64E116B8" w14:textId="26600A77" w:rsidR="0042791F" w:rsidRPr="0042791F" w:rsidRDefault="0042791F" w:rsidP="0042791F">
            <w:r w:rsidRPr="0042791F">
              <w:t>genutzt: 1 Mal </w:t>
            </w:r>
            <w:r w:rsidRPr="0042791F">
              <w:drawing>
                <wp:inline distT="0" distB="0" distL="0" distR="0" wp14:anchorId="0165D4D3" wp14:editId="7FB38E1E">
                  <wp:extent cx="153035" cy="15303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53" descr="https://intern.textbroker.de/img/fai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42791F">
              <w:t xml:space="preserve"> (Zu erreichende </w:t>
            </w:r>
            <w:proofErr w:type="spellStart"/>
            <w:r w:rsidRPr="0042791F">
              <w:t>Keyworddichte</w:t>
            </w:r>
            <w:proofErr w:type="spellEnd"/>
            <w:r w:rsidRPr="0042791F">
              <w:t>: 3-3 Mal)</w:t>
            </w:r>
          </w:p>
        </w:tc>
      </w:tr>
      <w:tr w:rsidR="0042791F" w:rsidRPr="0042791F" w14:paraId="482616FD" w14:textId="77777777" w:rsidTr="0042791F">
        <w:trPr>
          <w:tblCellSpacing w:w="15" w:type="dxa"/>
        </w:trPr>
        <w:tc>
          <w:tcPr>
            <w:tcW w:w="0" w:type="auto"/>
            <w:gridSpan w:val="3"/>
            <w:vAlign w:val="center"/>
            <w:hideMark/>
          </w:tcPr>
          <w:p w14:paraId="47F2C96C" w14:textId="77777777" w:rsidR="0042791F" w:rsidRPr="0042791F" w:rsidRDefault="0042791F" w:rsidP="0042791F"/>
        </w:tc>
      </w:tr>
    </w:tbl>
    <w:p w14:paraId="7EA6ABF5" w14:textId="156E1D8E" w:rsidR="004A76A0" w:rsidRPr="00281B38" w:rsidRDefault="000B36A3" w:rsidP="00281B38">
      <w:r>
        <w:rPr>
          <w:rFonts w:ascii="Verdana" w:hAnsi="Verdana"/>
          <w:color w:val="333333"/>
          <w:sz w:val="17"/>
          <w:szCs w:val="17"/>
          <w:shd w:val="clear" w:color="auto" w:fill="FFFFFF"/>
        </w:rPr>
        <w:t>Ankertext: Bestes Online Casinos</w:t>
      </w:r>
      <w:r>
        <w:rPr>
          <w:rFonts w:ascii="Verdana" w:hAnsi="Verdana"/>
          <w:color w:val="333333"/>
          <w:sz w:val="17"/>
          <w:szCs w:val="17"/>
        </w:rPr>
        <w:br/>
      </w:r>
      <w:r>
        <w:rPr>
          <w:rFonts w:ascii="Verdana" w:hAnsi="Verdana"/>
          <w:color w:val="333333"/>
          <w:sz w:val="17"/>
          <w:szCs w:val="17"/>
          <w:shd w:val="clear" w:color="auto" w:fill="FFFFFF"/>
        </w:rPr>
        <w:t>Link-Ziel: https://www.casinojetzt.de.com/</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Thema: Ein Artikel mit Bezug zu AVT/Quad und Online Casino.</w:t>
      </w:r>
    </w:p>
    <w:sectPr w:rsidR="004A76A0" w:rsidRPr="00281B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8B6C30"/>
    <w:multiLevelType w:val="multilevel"/>
    <w:tmpl w:val="7A7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8"/>
  </w:num>
  <w:num w:numId="5">
    <w:abstractNumId w:val="5"/>
  </w:num>
  <w:num w:numId="6">
    <w:abstractNumId w:val="1"/>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6A3"/>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06F2"/>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1B38"/>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2791F"/>
    <w:rsid w:val="004300F0"/>
    <w:rsid w:val="004301AD"/>
    <w:rsid w:val="004308A7"/>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6A0"/>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7ED"/>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8697A"/>
    <w:rsid w:val="00690002"/>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4905"/>
    <w:rsid w:val="00D0511C"/>
    <w:rsid w:val="00D05586"/>
    <w:rsid w:val="00D05B76"/>
    <w:rsid w:val="00D06A5A"/>
    <w:rsid w:val="00D06B3B"/>
    <w:rsid w:val="00D06C28"/>
    <w:rsid w:val="00D078A6"/>
    <w:rsid w:val="00D10DE1"/>
    <w:rsid w:val="00D12795"/>
    <w:rsid w:val="00D13540"/>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 w:type="character" w:customStyle="1" w:styleId="token">
    <w:name w:val="token"/>
    <w:basedOn w:val="Absatz-Standardschriftart"/>
    <w:rsid w:val="00D04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73467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1571750">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87826217">
      <w:bodyDiv w:val="1"/>
      <w:marLeft w:val="0"/>
      <w:marRight w:val="0"/>
      <w:marTop w:val="0"/>
      <w:marBottom w:val="0"/>
      <w:divBdr>
        <w:top w:val="none" w:sz="0" w:space="0" w:color="auto"/>
        <w:left w:val="none" w:sz="0" w:space="0" w:color="auto"/>
        <w:bottom w:val="none" w:sz="0" w:space="0" w:color="auto"/>
        <w:right w:val="none" w:sz="0" w:space="0" w:color="auto"/>
      </w:divBdr>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hyperlink" Target="https://atv-quad-magazin.com/erstes-treffen-der-quadfreunde-lavanttal-nun-im-september-gepla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dac.de/produkte/fahrsicherheitstraining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5EF7B-0C26-4DC7-BD06-0DB645D2E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1995</cp:revision>
  <dcterms:created xsi:type="dcterms:W3CDTF">2020-03-02T10:25:00Z</dcterms:created>
  <dcterms:modified xsi:type="dcterms:W3CDTF">2020-08-18T05:31:00Z</dcterms:modified>
</cp:coreProperties>
</file>