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DB633" w14:textId="1A6C3884" w:rsidR="00C46B3E" w:rsidRPr="00C46B3E" w:rsidRDefault="00C46B3E" w:rsidP="00624C7B">
      <w:pPr>
        <w:shd w:val="clear" w:color="auto" w:fill="FFFFFF"/>
        <w:spacing w:after="0" w:line="240" w:lineRule="atLeast"/>
        <w:rPr>
          <w:rFonts w:ascii="Verdana" w:eastAsia="Times New Roman" w:hAnsi="Verdana" w:cs="Times New Roman"/>
          <w:color w:val="333333"/>
          <w:sz w:val="17"/>
          <w:szCs w:val="17"/>
          <w:lang w:eastAsia="de-DE"/>
        </w:rPr>
      </w:pPr>
      <w:r w:rsidRPr="008F388E">
        <w:rPr>
          <w:rFonts w:ascii="Verdana" w:eastAsia="Times New Roman" w:hAnsi="Verdana" w:cs="Times New Roman"/>
          <w:color w:val="333333"/>
          <w:sz w:val="17"/>
          <w:szCs w:val="17"/>
          <w:highlight w:val="green"/>
          <w:lang w:eastAsia="de-DE"/>
        </w:rPr>
        <w:t>Auszeichnung als TOP-Lokalversorger in den Sparten Strom &amp; Gas sowie Wasser für die Stadtwerke Jülich.</w:t>
      </w:r>
      <w:r w:rsidR="00227BD9" w:rsidRPr="008F388E">
        <w:rPr>
          <w:rFonts w:ascii="Verdana" w:eastAsia="Times New Roman" w:hAnsi="Verdana" w:cs="Times New Roman"/>
          <w:color w:val="333333"/>
          <w:sz w:val="17"/>
          <w:szCs w:val="17"/>
          <w:highlight w:val="green"/>
          <w:lang w:eastAsia="de-DE"/>
        </w:rPr>
        <w:tab/>
      </w:r>
      <w:r w:rsidRPr="008F388E">
        <w:rPr>
          <w:rFonts w:ascii="Verdana" w:eastAsia="Times New Roman" w:hAnsi="Verdana" w:cs="Times New Roman"/>
          <w:color w:val="333333"/>
          <w:sz w:val="17"/>
          <w:szCs w:val="17"/>
          <w:highlight w:val="green"/>
          <w:lang w:eastAsia="de-DE"/>
        </w:rPr>
        <w:br/>
      </w:r>
      <w:r w:rsidRPr="008F388E">
        <w:rPr>
          <w:rFonts w:ascii="Verdana" w:eastAsia="Times New Roman" w:hAnsi="Verdana" w:cs="Times New Roman"/>
          <w:color w:val="333333"/>
          <w:sz w:val="17"/>
          <w:szCs w:val="17"/>
          <w:highlight w:val="green"/>
          <w:lang w:eastAsia="de-DE"/>
        </w:rPr>
        <w:br/>
        <w:t>1. Einleitungstext</w:t>
      </w:r>
      <w:r w:rsidRPr="008F388E">
        <w:rPr>
          <w:rFonts w:ascii="Verdana" w:eastAsia="Times New Roman" w:hAnsi="Verdana" w:cs="Times New Roman"/>
          <w:color w:val="333333"/>
          <w:sz w:val="17"/>
          <w:szCs w:val="17"/>
          <w:highlight w:val="green"/>
          <w:lang w:eastAsia="de-DE"/>
        </w:rPr>
        <w:br/>
        <w:t>- Sonstige Auszeichnungen der Stadtwerke Jülich</w:t>
      </w:r>
      <w:r w:rsidRPr="008F388E">
        <w:rPr>
          <w:rFonts w:ascii="Verdana" w:eastAsia="Times New Roman" w:hAnsi="Verdana" w:cs="Times New Roman"/>
          <w:color w:val="333333"/>
          <w:sz w:val="17"/>
          <w:szCs w:val="17"/>
          <w:highlight w:val="green"/>
          <w:lang w:eastAsia="de-DE"/>
        </w:rPr>
        <w:br/>
      </w:r>
      <w:r w:rsidRPr="008F388E">
        <w:rPr>
          <w:rFonts w:ascii="Verdana" w:eastAsia="Times New Roman" w:hAnsi="Verdana" w:cs="Times New Roman"/>
          <w:color w:val="333333"/>
          <w:sz w:val="17"/>
          <w:szCs w:val="17"/>
          <w:highlight w:val="green"/>
          <w:lang w:eastAsia="de-DE"/>
        </w:rPr>
        <w:br/>
        <w:t>2. TOP Lokalversorger</w:t>
      </w:r>
      <w:r w:rsidRPr="008F388E">
        <w:rPr>
          <w:rFonts w:ascii="Verdana" w:eastAsia="Times New Roman" w:hAnsi="Verdana" w:cs="Times New Roman"/>
          <w:color w:val="333333"/>
          <w:sz w:val="17"/>
          <w:szCs w:val="17"/>
          <w:highlight w:val="green"/>
          <w:lang w:eastAsia="de-DE"/>
        </w:rPr>
        <w:br/>
        <w:t>- Was bedeutet das Siegel „TOP-Lokalversorger“</w:t>
      </w:r>
      <w:r w:rsidRPr="008F388E">
        <w:rPr>
          <w:rFonts w:ascii="Verdana" w:eastAsia="Times New Roman" w:hAnsi="Verdana" w:cs="Times New Roman"/>
          <w:color w:val="333333"/>
          <w:sz w:val="17"/>
          <w:szCs w:val="17"/>
          <w:highlight w:val="green"/>
          <w:lang w:eastAsia="de-DE"/>
        </w:rPr>
        <w:br/>
        <w:t>- TOP-Lokalversorger-Prinzip</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3. Die Bewerbung und Bewertung der Stadtwerke Jülich in der Kategorie Strom und Gas</w:t>
      </w:r>
      <w:r w:rsidRPr="00C46B3E">
        <w:rPr>
          <w:rFonts w:ascii="Verdana" w:eastAsia="Times New Roman" w:hAnsi="Verdana" w:cs="Times New Roman"/>
          <w:color w:val="333333"/>
          <w:sz w:val="17"/>
          <w:szCs w:val="17"/>
          <w:lang w:eastAsia="de-DE"/>
        </w:rPr>
        <w:br/>
        <w:t>- Nach welchen Kategorien beziehungsweise Aspekten werden die Unternehmen bewertet</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4. Die Bewertung der Stadtwerke Jülich in der Kategorie Wasser</w:t>
      </w:r>
      <w:r w:rsidRPr="00C46B3E">
        <w:rPr>
          <w:rFonts w:ascii="Verdana" w:eastAsia="Times New Roman" w:hAnsi="Verdana" w:cs="Times New Roman"/>
          <w:color w:val="333333"/>
          <w:sz w:val="17"/>
          <w:szCs w:val="17"/>
          <w:lang w:eastAsia="de-DE"/>
        </w:rPr>
        <w:br/>
        <w:t>- Nach welchen Kategorien beziehungsweise Aspekten werden die Unternehmen bewertet</w:t>
      </w:r>
      <w:r w:rsidRPr="00C46B3E">
        <w:rPr>
          <w:rFonts w:ascii="Verdana" w:eastAsia="Times New Roman" w:hAnsi="Verdana" w:cs="Times New Roman"/>
          <w:color w:val="333333"/>
          <w:sz w:val="17"/>
          <w:szCs w:val="17"/>
          <w:lang w:eastAsia="de-DE"/>
        </w:rPr>
        <w:br/>
        <w:t>- Unterschied zu der Bewertung in der Kategorie Strom und Gas</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______________________________________________________</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Informationen finden Sie auf folgenden Seiten:</w:t>
      </w:r>
      <w:r w:rsidRPr="00C46B3E">
        <w:rPr>
          <w:rFonts w:ascii="Verdana" w:eastAsia="Times New Roman" w:hAnsi="Verdana" w:cs="Times New Roman"/>
          <w:color w:val="333333"/>
          <w:sz w:val="17"/>
          <w:szCs w:val="17"/>
          <w:lang w:eastAsia="de-DE"/>
        </w:rPr>
        <w:br/>
        <w:t>- https://www.stadtwerke-juelich.de/ausgezeichnete-swj/</w:t>
      </w:r>
      <w:r w:rsidRPr="00C46B3E">
        <w:rPr>
          <w:rFonts w:ascii="Verdana" w:eastAsia="Times New Roman" w:hAnsi="Verdana" w:cs="Times New Roman"/>
          <w:color w:val="333333"/>
          <w:sz w:val="17"/>
          <w:szCs w:val="17"/>
          <w:lang w:eastAsia="de-DE"/>
        </w:rPr>
        <w:br/>
        <w:t>- https://www.herzog-magazin.de/magazin/zukunft-wirtschaft/juelicher-stadtwerke-gehoeren-zu-den-besten/</w:t>
      </w:r>
      <w:r w:rsidRPr="00C46B3E">
        <w:rPr>
          <w:rFonts w:ascii="Verdana" w:eastAsia="Times New Roman" w:hAnsi="Verdana" w:cs="Times New Roman"/>
          <w:color w:val="333333"/>
          <w:sz w:val="17"/>
          <w:szCs w:val="17"/>
          <w:lang w:eastAsia="de-DE"/>
        </w:rPr>
        <w:br/>
        <w:t>- https://www.top-lokalversorger.de/pressecenter -&gt; die Factsheets „Allgemein“, „</w:t>
      </w:r>
      <w:proofErr w:type="spellStart"/>
      <w:r w:rsidRPr="00C46B3E">
        <w:rPr>
          <w:rFonts w:ascii="Verdana" w:eastAsia="Times New Roman" w:hAnsi="Verdana" w:cs="Times New Roman"/>
          <w:color w:val="333333"/>
          <w:sz w:val="17"/>
          <w:szCs w:val="17"/>
          <w:lang w:eastAsia="de-DE"/>
        </w:rPr>
        <w:t>Strom&amp;Gas</w:t>
      </w:r>
      <w:proofErr w:type="spellEnd"/>
      <w:r w:rsidRPr="00C46B3E">
        <w:rPr>
          <w:rFonts w:ascii="Verdana" w:eastAsia="Times New Roman" w:hAnsi="Verdana" w:cs="Times New Roman"/>
          <w:color w:val="333333"/>
          <w:sz w:val="17"/>
          <w:szCs w:val="17"/>
          <w:lang w:eastAsia="de-DE"/>
        </w:rPr>
        <w:t>“ sowie „Wasser“ können helfen</w:t>
      </w:r>
      <w:r w:rsidRPr="00C46B3E">
        <w:rPr>
          <w:rFonts w:ascii="Verdana" w:eastAsia="Times New Roman" w:hAnsi="Verdana" w:cs="Times New Roman"/>
          <w:color w:val="333333"/>
          <w:sz w:val="17"/>
          <w:szCs w:val="17"/>
          <w:lang w:eastAsia="de-DE"/>
        </w:rPr>
        <w:br/>
        <w:t>- https://www.top-lokalversorger.de/top-lokalversorger-prinzip</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Außerdem hier noch eine Pressemitteilung zu diesem Thema:</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Auf Anhieb ausgezeichnet:</w:t>
      </w:r>
      <w:r w:rsidRPr="00C46B3E">
        <w:rPr>
          <w:rFonts w:ascii="Verdana" w:eastAsia="Times New Roman" w:hAnsi="Verdana" w:cs="Times New Roman"/>
          <w:color w:val="333333"/>
          <w:sz w:val="17"/>
          <w:szCs w:val="17"/>
          <w:lang w:eastAsia="de-DE"/>
        </w:rPr>
        <w:br/>
        <w:t>SWJ ist TOP-Lokalversorger für Strom, Gas und Wasser</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Jülich. Das Siegel „TOP-Lokalversorger“ zeichnet regionale Versorgungs-Unternehmen aus, die „mit Preis, Leistung und Qualität im Gesamtpaket überzeugen“. Die Stadtwerke Jülich GmbH (SWJ) hat sich in diesem Jahr erstmals den strengen Prüfungen gestellt – und wurde belohnt: sie erhielt auf Anhieb das begehrte Siegel in allen geprüften Kriterien. Damit kann sich die SWJ nun „Top-Lokalversorger“ in den Bereichen Strom, Gas und Wasser nennen.</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 xml:space="preserve">„Das ist eine sehr hohe Auszeichnung, die wir hier erhalten haben“, freut sich Vertriebs- und Marketingleiter Ivan </w:t>
      </w:r>
      <w:proofErr w:type="spellStart"/>
      <w:r w:rsidRPr="00C46B3E">
        <w:rPr>
          <w:rFonts w:ascii="Verdana" w:eastAsia="Times New Roman" w:hAnsi="Verdana" w:cs="Times New Roman"/>
          <w:color w:val="333333"/>
          <w:sz w:val="17"/>
          <w:szCs w:val="17"/>
          <w:lang w:eastAsia="de-DE"/>
        </w:rPr>
        <w:t>Ardines</w:t>
      </w:r>
      <w:proofErr w:type="spellEnd"/>
      <w:r w:rsidRPr="00C46B3E">
        <w:rPr>
          <w:rFonts w:ascii="Verdana" w:eastAsia="Times New Roman" w:hAnsi="Verdana" w:cs="Times New Roman"/>
          <w:color w:val="333333"/>
          <w:sz w:val="17"/>
          <w:szCs w:val="17"/>
          <w:lang w:eastAsia="de-DE"/>
        </w:rPr>
        <w:t>. „Umso stolzer sind wir, dass wir für alle drei Bereiche die Prüfung direkt im ersten Anlauf bestanden haben.“ Selbstverständlich ist das nicht, denn von den 615 Bewerbungen haben lediglich 266 das Siegel erhalten.</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Strom und Gas – die Bewertung</w:t>
      </w:r>
      <w:r w:rsidRPr="00C46B3E">
        <w:rPr>
          <w:rFonts w:ascii="Verdana" w:eastAsia="Times New Roman" w:hAnsi="Verdana" w:cs="Times New Roman"/>
          <w:color w:val="333333"/>
          <w:sz w:val="17"/>
          <w:szCs w:val="17"/>
          <w:lang w:eastAsia="de-DE"/>
        </w:rPr>
        <w:br/>
        <w:t xml:space="preserve">Neben dem reinen Energiepreis werden bei der Bewertung zum Top-Lokalversorger diverse qualitäts- und servicebezogene Aspekte mit einer entsprechenden Punktvergabe bewertet. „Da geht es beispielsweise um Service, Ökologie, regionales Engagement, Kundenzufriedenheit – und auch Zukunftsthemen“, zeigt Ivan </w:t>
      </w:r>
      <w:proofErr w:type="spellStart"/>
      <w:r w:rsidRPr="00C46B3E">
        <w:rPr>
          <w:rFonts w:ascii="Verdana" w:eastAsia="Times New Roman" w:hAnsi="Verdana" w:cs="Times New Roman"/>
          <w:color w:val="333333"/>
          <w:sz w:val="17"/>
          <w:szCs w:val="17"/>
          <w:lang w:eastAsia="de-DE"/>
        </w:rPr>
        <w:t>Ardines</w:t>
      </w:r>
      <w:proofErr w:type="spellEnd"/>
      <w:r w:rsidRPr="00C46B3E">
        <w:rPr>
          <w:rFonts w:ascii="Verdana" w:eastAsia="Times New Roman" w:hAnsi="Verdana" w:cs="Times New Roman"/>
          <w:color w:val="333333"/>
          <w:sz w:val="17"/>
          <w:szCs w:val="17"/>
          <w:lang w:eastAsia="de-DE"/>
        </w:rPr>
        <w:t xml:space="preserve"> auf.</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Wasser-Bewertung</w:t>
      </w:r>
      <w:r w:rsidRPr="00C46B3E">
        <w:rPr>
          <w:rFonts w:ascii="Verdana" w:eastAsia="Times New Roman" w:hAnsi="Verdana" w:cs="Times New Roman"/>
          <w:color w:val="333333"/>
          <w:sz w:val="17"/>
          <w:szCs w:val="17"/>
          <w:lang w:eastAsia="de-DE"/>
        </w:rPr>
        <w:br/>
        <w:t xml:space="preserve">Bei der Wasserversorgung unterscheiden sich trotz des fehlenden Drucks des Preiswettbewerbs die Qualitäten in Bezug auf Kundenzufriedenheit, Transparenz und Serviceleistungen. Hier messen sich die teilnehmenden Versorger mit hohen Standards. „Neben einigen Kriterien, die auch bei Strom und Gas ins Gewicht fallen, dreht es sich beim Wasser natürlich auch um dessen Qualität und die der sicheren Versorgung. Transparenz wird da ganz </w:t>
      </w:r>
      <w:proofErr w:type="gramStart"/>
      <w:r w:rsidRPr="00C46B3E">
        <w:rPr>
          <w:rFonts w:ascii="Verdana" w:eastAsia="Times New Roman" w:hAnsi="Verdana" w:cs="Times New Roman"/>
          <w:color w:val="333333"/>
          <w:sz w:val="17"/>
          <w:szCs w:val="17"/>
          <w:lang w:eastAsia="de-DE"/>
        </w:rPr>
        <w:t>groß geschrieben</w:t>
      </w:r>
      <w:proofErr w:type="gramEnd"/>
      <w:r w:rsidRPr="00C46B3E">
        <w:rPr>
          <w:rFonts w:ascii="Verdana" w:eastAsia="Times New Roman" w:hAnsi="Verdana" w:cs="Times New Roman"/>
          <w:color w:val="333333"/>
          <w:sz w:val="17"/>
          <w:szCs w:val="17"/>
          <w:lang w:eastAsia="de-DE"/>
        </w:rPr>
        <w:t xml:space="preserve">“, erläutert Dr. Hildegard </w:t>
      </w:r>
      <w:proofErr w:type="spellStart"/>
      <w:r w:rsidRPr="00C46B3E">
        <w:rPr>
          <w:rFonts w:ascii="Verdana" w:eastAsia="Times New Roman" w:hAnsi="Verdana" w:cs="Times New Roman"/>
          <w:color w:val="333333"/>
          <w:sz w:val="17"/>
          <w:szCs w:val="17"/>
          <w:lang w:eastAsia="de-DE"/>
        </w:rPr>
        <w:t>Hoecker</w:t>
      </w:r>
      <w:proofErr w:type="spellEnd"/>
      <w:r w:rsidRPr="00C46B3E">
        <w:rPr>
          <w:rFonts w:ascii="Verdana" w:eastAsia="Times New Roman" w:hAnsi="Verdana" w:cs="Times New Roman"/>
          <w:color w:val="333333"/>
          <w:sz w:val="17"/>
          <w:szCs w:val="17"/>
          <w:lang w:eastAsia="de-DE"/>
        </w:rPr>
        <w:t>, Leiterin Kundenservice und Abrechnung.</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Einige Auszeichnungen</w:t>
      </w:r>
      <w:r w:rsidRPr="00C46B3E">
        <w:rPr>
          <w:rFonts w:ascii="Verdana" w:eastAsia="Times New Roman" w:hAnsi="Verdana" w:cs="Times New Roman"/>
          <w:color w:val="333333"/>
          <w:sz w:val="17"/>
          <w:szCs w:val="17"/>
          <w:lang w:eastAsia="de-DE"/>
        </w:rPr>
        <w:br/>
        <w:t xml:space="preserve">Das Siegel des „Top-Lokalversorgers“ ergänzt die Reihe der Auszeichnungen, die die SWJ in den letzten </w:t>
      </w:r>
      <w:r w:rsidRPr="00C46B3E">
        <w:rPr>
          <w:rFonts w:ascii="Verdana" w:eastAsia="Times New Roman" w:hAnsi="Verdana" w:cs="Times New Roman"/>
          <w:color w:val="333333"/>
          <w:sz w:val="17"/>
          <w:szCs w:val="17"/>
          <w:lang w:eastAsia="de-DE"/>
        </w:rPr>
        <w:lastRenderedPageBreak/>
        <w:t>Jahren erhalten hat. Dank Focus Money erhielt der Jülicher Energiedienstleister nicht nur das „Prädikat Silber“, sondern zählte auch sowohl zu „Deutschlands Besten – die Besten im Alltag“ als auch laut dem FAZ-Institut zu „Deutschlands besten Kundenberatern“. Außerdem gelang die Zertifizierung durch die Experten der TSM-Überprüfung („Technischen-Sicherheits-Management“), ebenfalls in den Bereichen Strom, Gas und Wasser.</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Die Top-Lokalversorger-Auszeichnung wird vom Energieverbraucherportal verliehen.</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 xml:space="preserve">„Das ist ein schöner Start ins neue Jahr“, freut sich SWJ-Geschäftsführer Ulf </w:t>
      </w:r>
      <w:proofErr w:type="spellStart"/>
      <w:r w:rsidRPr="00C46B3E">
        <w:rPr>
          <w:rFonts w:ascii="Verdana" w:eastAsia="Times New Roman" w:hAnsi="Verdana" w:cs="Times New Roman"/>
          <w:color w:val="333333"/>
          <w:sz w:val="17"/>
          <w:szCs w:val="17"/>
          <w:lang w:eastAsia="de-DE"/>
        </w:rPr>
        <w:t>Kamburg</w:t>
      </w:r>
      <w:proofErr w:type="spellEnd"/>
      <w:r w:rsidRPr="00C46B3E">
        <w:rPr>
          <w:rFonts w:ascii="Verdana" w:eastAsia="Times New Roman" w:hAnsi="Verdana" w:cs="Times New Roman"/>
          <w:color w:val="333333"/>
          <w:sz w:val="17"/>
          <w:szCs w:val="17"/>
          <w:lang w:eastAsia="de-DE"/>
        </w:rPr>
        <w:t>. „Wir arbeiten daran, dass dieser Auszeichnung noch möglichst viele weitere folgen werden.“</w:t>
      </w:r>
    </w:p>
    <w:p w14:paraId="1ABE4B45" w14:textId="77777777" w:rsidR="00C46B3E" w:rsidRPr="00C46B3E" w:rsidRDefault="00C46B3E" w:rsidP="00C46B3E">
      <w:pPr>
        <w:spacing w:before="120" w:after="0" w:line="240" w:lineRule="auto"/>
        <w:rPr>
          <w:rFonts w:ascii="Verdana" w:eastAsia="Times New Roman" w:hAnsi="Verdana" w:cs="Times New Roman"/>
          <w:color w:val="333333"/>
          <w:sz w:val="15"/>
          <w:szCs w:val="15"/>
          <w:lang w:eastAsia="de-DE"/>
        </w:rPr>
      </w:pPr>
      <w:r w:rsidRPr="00C46B3E">
        <w:rPr>
          <w:rFonts w:ascii="Verdana" w:eastAsia="Times New Roman" w:hAnsi="Verdana" w:cs="Times New Roman"/>
          <w:color w:val="333333"/>
          <w:sz w:val="15"/>
          <w:szCs w:val="15"/>
          <w:lang w:eastAsia="de-DE"/>
        </w:rPr>
        <w:br/>
        <w:t>SWJ Blog Beitrag - Auszeichnung als TOP-Lokalversorger</w:t>
      </w:r>
    </w:p>
    <w:p w14:paraId="4FFB3794" w14:textId="1FAFB511" w:rsidR="00C46B3E" w:rsidRDefault="00C46B3E" w:rsidP="00C46B3E">
      <w:r>
        <w:t>600 Wörter</w:t>
      </w:r>
    </w:p>
    <w:p w14:paraId="32C213FC" w14:textId="5A8576F9" w:rsidR="00C46B3E" w:rsidRDefault="00C46B3E" w:rsidP="00C46B3E"/>
    <w:p w14:paraId="4D3212C9" w14:textId="68B45154" w:rsidR="00C46B3E" w:rsidRDefault="00227BD9" w:rsidP="00C46B3E">
      <w:r>
        <w:t>&lt;h1&gt;</w:t>
      </w:r>
      <w:r w:rsidR="001804AD">
        <w:t>Die Stadtwerke Jülich und ihre überaus erfolgreiche Unternehmenshistorie</w:t>
      </w:r>
      <w:r>
        <w:t>&lt;/h1&gt;</w:t>
      </w:r>
    </w:p>
    <w:p w14:paraId="68393E91" w14:textId="772238B5" w:rsidR="00227BD9" w:rsidRDefault="00227BD9" w:rsidP="00C46B3E"/>
    <w:p w14:paraId="76E67781" w14:textId="653C87C9" w:rsidR="00227BD9" w:rsidRDefault="00227BD9" w:rsidP="00C46B3E">
      <w:r>
        <w:t>&lt;p&gt;Die &lt;strong&gt;Stadtwerke Jülich&lt;/strong&gt;</w:t>
      </w:r>
      <w:r w:rsidR="009B1702">
        <w:t xml:space="preserve"> (oder kurz: &lt;strong&gt;SWJ&lt;/strong&gt;)</w:t>
      </w:r>
      <w:r>
        <w:t xml:space="preserve"> der nordrhein-</w:t>
      </w:r>
      <w:proofErr w:type="spellStart"/>
      <w:r>
        <w:t>westfälichen</w:t>
      </w:r>
      <w:proofErr w:type="spellEnd"/>
      <w:r>
        <w:t xml:space="preserve"> Mittelstadt &lt;strong&gt;Jülich&lt;/strong&gt; gehören seit über 100 Jahren zu einer der festen Institutionen der Stadt. So gründete sich das renommierte Unternehmen bereits um die </w:t>
      </w:r>
      <w:proofErr w:type="spellStart"/>
      <w:r>
        <w:t>Jahrunderwende</w:t>
      </w:r>
      <w:proofErr w:type="spellEnd"/>
      <w:r>
        <w:t xml:space="preserve"> des vorletzten Jahrhunderts und stieg durch den Bau eines eigenen &lt;strong&gt;Gaswerks&lt;/strong&gt; hier zunächst in die eigene Gasversorgung ein. Mittlerweile liefern die Stadtwerke Jülich mehr als 303 Millionen kWh Erdgas pro Jahr an Kunden innerhalb der Stadt Jülich sowie der unmittelbaren Umgebung der Stadt. Die lokale Wasserversorgung wurden &lt;strong&gt;1902&lt;/strong&gt; durch das erste, eigene &lt;strong&gt;Wasserwerk&lt;/strong&gt; zur Trinkwasseraufbereitung etabliert. Rund &lt;strong&gt;1,6 Millionen Kubikmeter Trinkwasser&lt;/strong&gt; können heute über das mehr als 256 Kilometer lange Versorgungsnetz der Stadtwerke Jülich bereitgestellt werden. Das Jahr &lt;strong&gt;1910&lt;/strong&gt; war dann der nächste Meilenstein innerhalb der Unternehmensgeschichte</w:t>
      </w:r>
      <w:r w:rsidR="001A01AA">
        <w:t xml:space="preserve"> – durch den Bau eines eigenen Elektrizitätswerks wurde dann auch die Stromversorgung der Stadt sichergestellt. Heute </w:t>
      </w:r>
      <w:r w:rsidR="00DB58DA">
        <w:t xml:space="preserve">umfasst das Kabelnetz rund 250 Kilometer – mehr als &lt;strong&gt;9.500 Haushalte&lt;/strong&gt; werden </w:t>
      </w:r>
      <w:proofErr w:type="spellStart"/>
      <w:r w:rsidR="00DB58DA">
        <w:t>so mit</w:t>
      </w:r>
      <w:proofErr w:type="spellEnd"/>
      <w:r w:rsidR="00DB58DA">
        <w:t xml:space="preserve"> über &lt;strong&gt;93 Millionen kWh&lt;/strong&gt; jährlich versorgt.</w:t>
      </w:r>
      <w:r w:rsidR="009B1702">
        <w:t xml:space="preserve"> Die letzte Station war &lt;strong&gt;1982&lt;/strong&gt; der Einstieg in die </w:t>
      </w:r>
      <w:proofErr w:type="gramStart"/>
      <w:r w:rsidR="009B1702">
        <w:t>Fernwärmeversorgung.</w:t>
      </w:r>
      <w:r w:rsidR="00DB58DA">
        <w:t>&lt;</w:t>
      </w:r>
      <w:proofErr w:type="spellStart"/>
      <w:proofErr w:type="gramEnd"/>
      <w:r w:rsidR="00DB58DA">
        <w:t>br</w:t>
      </w:r>
      <w:proofErr w:type="spellEnd"/>
      <w:r w:rsidR="00DB58DA">
        <w:t>&gt;</w:t>
      </w:r>
    </w:p>
    <w:p w14:paraId="3CCA2BCC" w14:textId="32FF0B40" w:rsidR="00DB58DA" w:rsidRDefault="00DB58DA" w:rsidP="00C46B3E"/>
    <w:p w14:paraId="5D6BA872" w14:textId="2B3D2867" w:rsidR="009B1702" w:rsidRDefault="00DB58DA" w:rsidP="009B1702">
      <w:r>
        <w:t>&lt;p&gt;</w:t>
      </w:r>
      <w:r w:rsidR="009B1702">
        <w:t>Zuletzt erlangten die Stadtwerke Jülich aufgrund ihrer langen und erfolgreichen Unternehmensgeschichte sowie ihren erstklassigen Versorgungsleistungen immer wieder positive Auszeichnungen. Das deutsche Wirtschaftsmagazin &lt;strong&gt;&lt;i&gt;Focus Money&lt;/i&gt;&lt;/strong&gt; zeichnete SWJ beispielsweise als „&lt;strong&gt;Deutschlands Besten – Die Besten im Alltag&lt;/strong&gt;“ aus. Gemäß &lt;strong&gt;FAZ-Institut&lt;/strong&gt; gehört SWJ zudem zu den „&lt;strong&gt;Besten Kundenberatern Deutschlands&lt;/strong&gt;“.</w:t>
      </w:r>
      <w:r w:rsidR="004721C2">
        <w:t xml:space="preserve"> Für die </w:t>
      </w:r>
      <w:proofErr w:type="spellStart"/>
      <w:r w:rsidR="004721C2">
        <w:t>Nomminierungen</w:t>
      </w:r>
      <w:proofErr w:type="spellEnd"/>
      <w:r w:rsidR="004721C2">
        <w:t xml:space="preserve"> wurden vom Institut für Management- und Wirtschaftsforschung GmbH die &lt;strong&gt;</w:t>
      </w:r>
      <w:proofErr w:type="spellStart"/>
      <w:r w:rsidR="004721C2">
        <w:t>Social</w:t>
      </w:r>
      <w:proofErr w:type="spellEnd"/>
      <w:r w:rsidR="004721C2">
        <w:t xml:space="preserve"> </w:t>
      </w:r>
      <w:proofErr w:type="spellStart"/>
      <w:r w:rsidR="004721C2">
        <w:t>Listenings</w:t>
      </w:r>
      <w:proofErr w:type="spellEnd"/>
      <w:r w:rsidR="004721C2">
        <w:t xml:space="preserve">&lt;/strong&gt; von SWJ näher untersucht – hierfür wurden die Daten von mehr als 24.000 Marken und Unternehmen aus weit über 400 Millionen Quellen auf </w:t>
      </w:r>
      <w:proofErr w:type="spellStart"/>
      <w:r w:rsidR="004721C2">
        <w:t>Social</w:t>
      </w:r>
      <w:proofErr w:type="spellEnd"/>
      <w:r w:rsidR="004721C2">
        <w:t xml:space="preserve"> Media, Webseiten, Blogs oder Foren analysiert.&lt;/p&gt;</w:t>
      </w:r>
    </w:p>
    <w:p w14:paraId="6443BFB9" w14:textId="161F00EA" w:rsidR="004721C2" w:rsidRDefault="004721C2" w:rsidP="009B1702"/>
    <w:p w14:paraId="3E72C948" w14:textId="488B72E9" w:rsidR="004721C2" w:rsidRDefault="004721C2" w:rsidP="009B1702">
      <w:r>
        <w:t>&lt;h2&gt;</w:t>
      </w:r>
      <w:r w:rsidR="001804AD">
        <w:t xml:space="preserve">Die Stadtwerke Jülich sind nun auch der TOP-Lokalversorger – doch, was heißt das </w:t>
      </w:r>
      <w:proofErr w:type="gramStart"/>
      <w:r w:rsidR="001804AD">
        <w:t>überhaupt?&lt;</w:t>
      </w:r>
      <w:proofErr w:type="gramEnd"/>
      <w:r w:rsidR="001804AD">
        <w:t>/h2&gt;</w:t>
      </w:r>
    </w:p>
    <w:p w14:paraId="28C4280B" w14:textId="0840E7D8" w:rsidR="001804AD" w:rsidRDefault="001804AD" w:rsidP="009B1702"/>
    <w:p w14:paraId="3D0B05A3" w14:textId="73BF5FBA" w:rsidR="001804AD" w:rsidRDefault="001804AD" w:rsidP="009B1702">
      <w:r>
        <w:lastRenderedPageBreak/>
        <w:t>&lt;p&gt;</w:t>
      </w:r>
      <w:r w:rsidR="00600985">
        <w:t xml:space="preserve">Bei der Auszeichnung &lt;strong&gt;TOP-Lokalversorger&lt;/strong&gt; handelt es sich um ein &lt;strong&gt;Siegel&lt;/strong&gt;, welches seit 2011 &lt;strong&gt;einmal pro Jahr&lt;/strong&gt; vergeben wird. Im Fokus stehen dabei sämtliche Energie- und Wasserversorger innerhalb der Bundesrepublik Deutschland, die Anhand verschiedener Kriterien wie zum Beispiel &lt;strong&gt;Service&lt;/strong&gt;, &lt;strong&gt;Ökologie&lt;/strong&gt;, &lt;strong&gt;regionales Engagement&lt;/strong&gt; sowie &lt;strong&gt;Kundenzufriedenheit&lt;/strong&gt;, &lt;strong&gt;Zukunftsthemen&lt;/strong&gt; und &lt;strong&gt;Transparenz&lt;/strong&gt; unterschiedliche Tarife in den Bereichen Gas, Wasser und Strom miteinander vergleichen. Die entsprechenden Ergebnisse der jährlichen Auszeichnungsrunden können in Form einer </w:t>
      </w:r>
      <w:r w:rsidR="00600985" w:rsidRPr="00600985">
        <w:t xml:space="preserve">&lt;a </w:t>
      </w:r>
      <w:proofErr w:type="spellStart"/>
      <w:r w:rsidR="00600985" w:rsidRPr="00600985">
        <w:t>href</w:t>
      </w:r>
      <w:proofErr w:type="spellEnd"/>
      <w:r w:rsidR="00600985" w:rsidRPr="00600985">
        <w:t>="https://www.top-lokalversorger.de/gewinner"&gt;</w:t>
      </w:r>
      <w:r w:rsidR="00600985">
        <w:t>Liste der deutschen TOP-Lokalversorger</w:t>
      </w:r>
      <w:r w:rsidR="00600985" w:rsidRPr="00600985">
        <w:t>&lt;/a&gt;</w:t>
      </w:r>
      <w:r w:rsidR="00600985">
        <w:t xml:space="preserve"> eingesehen werden.</w:t>
      </w:r>
      <w:r w:rsidR="00612909">
        <w:t xml:space="preserve"> Die punktevergabe erfolgt dabei anhand qualitäts- und servicebezogener </w:t>
      </w:r>
      <w:proofErr w:type="gramStart"/>
      <w:r w:rsidR="00612909">
        <w:t>Aspekte.&lt;</w:t>
      </w:r>
      <w:proofErr w:type="spellStart"/>
      <w:proofErr w:type="gramEnd"/>
      <w:r w:rsidR="00612909">
        <w:t>br</w:t>
      </w:r>
      <w:proofErr w:type="spellEnd"/>
      <w:r w:rsidR="00612909">
        <w:t>&gt;</w:t>
      </w:r>
    </w:p>
    <w:p w14:paraId="0FC84D0C" w14:textId="12407D2F" w:rsidR="00612909" w:rsidRDefault="00612909" w:rsidP="009B1702"/>
    <w:p w14:paraId="4F0F33EA" w14:textId="1D98C142" w:rsidR="00612909" w:rsidRDefault="00612909" w:rsidP="009B1702">
      <w:r>
        <w:t>&lt;p&gt;Das &lt;strong&gt;TOP-Lokalversorger-Prinzip&lt;/strong&gt; vergleicht also vorrangig lokale Versorger anhand ihrer angebotenen Leistungen und Services. Für den Erhalt der Auszeichnungen müssen die Teilnehmer (in dem Fall zum Beispiel die Stadtwerke Jülich) eine &lt;strong&gt;umfangreiche Selbstauskunft&lt;/strong&gt; vorlegen sowie sich einem ausgesprochen strengen Prüfungsverfahren unterziehen.</w:t>
      </w:r>
      <w:r w:rsidR="007A34BB">
        <w:t xml:space="preserve"> Am jeweiligen Stichtag der Bewertung (in der Regel im Januar) muss dem Bewerter dann ein &lt;strong&gt;ausgewogenes Versorgungspaket&lt;/strong&gt; vorliegen, welches sich in positiver Form von der bundesweiten Konkurrenz abhebt. </w:t>
      </w:r>
      <w:r w:rsidR="003E3267">
        <w:t>Die Auszeichnung selbst hat damit vor allem &lt;strong&gt;regionalen Charakter&lt;/strong</w:t>
      </w:r>
      <w:proofErr w:type="gramStart"/>
      <w:r w:rsidR="003E3267">
        <w:t>&gt;.&lt;</w:t>
      </w:r>
      <w:proofErr w:type="gramEnd"/>
      <w:r w:rsidR="003E3267">
        <w:t>/p&gt;</w:t>
      </w:r>
    </w:p>
    <w:p w14:paraId="083AB19C" w14:textId="4EBC5CBA" w:rsidR="003E3267" w:rsidRDefault="003E3267" w:rsidP="009B1702"/>
    <w:p w14:paraId="2B3E281C" w14:textId="062145B2" w:rsidR="003E3267" w:rsidRDefault="003E3267" w:rsidP="009B1702">
      <w:r>
        <w:t>&lt;h2&gt;</w:t>
      </w:r>
      <w:r w:rsidR="000516A2">
        <w:t>Diese Bewertung erreichte SWJ innerhalb der Kategorien Strom &amp; Gas&lt;/h2&gt;</w:t>
      </w:r>
    </w:p>
    <w:p w14:paraId="457B67D9" w14:textId="2A4BD3CA" w:rsidR="000516A2" w:rsidRDefault="000516A2" w:rsidP="009B1702"/>
    <w:p w14:paraId="3A08ABB3" w14:textId="12174093" w:rsidR="000516A2" w:rsidRDefault="000516A2" w:rsidP="009B1702">
      <w:r>
        <w:t>&lt;p&gt;</w:t>
      </w:r>
      <w:r w:rsidR="00F34A47">
        <w:t xml:space="preserve">Weit vorn bei der Punktevergabe waren die Stadtwerke Jülich vor allem im Bereich Strom &amp; Gas. Hier konnte das Unternehmen mit seinen Tarifen vor allem innerhalb der Bereiche Service, Ökologie sowie Kundenzufriedenheit und sein regionales Engagement glänzen. Auch Zukunftsthemen wie beispielsweise der </w:t>
      </w:r>
      <w:proofErr w:type="spellStart"/>
      <w:r w:rsidR="00F34A47">
        <w:t>neuliche</w:t>
      </w:r>
      <w:proofErr w:type="spellEnd"/>
      <w:r w:rsidR="00F34A47">
        <w:t xml:space="preserve"> Kauf eines Solarturms im Stadtgebiet gehörten hier dazu. Die Bewertung von SWJ in diesem Bereich war entsprechend „&lt;strong&gt;sehr gut&lt;/strong&gt;</w:t>
      </w:r>
      <w:proofErr w:type="gramStart"/>
      <w:r w:rsidR="00F34A47">
        <w:t>“.&lt;</w:t>
      </w:r>
      <w:proofErr w:type="gramEnd"/>
      <w:r w:rsidR="00F34A47">
        <w:t>/p&gt;</w:t>
      </w:r>
    </w:p>
    <w:p w14:paraId="4D874A81" w14:textId="5A4222D5" w:rsidR="00F34A47" w:rsidRDefault="00F34A47" w:rsidP="009B1702"/>
    <w:p w14:paraId="3E926CB0" w14:textId="77777777" w:rsidR="00F34A47" w:rsidRDefault="00F34A47" w:rsidP="009B1702">
      <w:r>
        <w:t>&lt;h2&gt;Auch die Bewertung im Bereich der Wasserversorgung von SWJ war überdurchschnittlich gut&lt;/h2&gt;</w:t>
      </w:r>
    </w:p>
    <w:p w14:paraId="195F674C" w14:textId="77777777" w:rsidR="00F34A47" w:rsidRDefault="00F34A47" w:rsidP="009B1702"/>
    <w:p w14:paraId="363F3BC4" w14:textId="24D72182" w:rsidR="00F34A47" w:rsidRDefault="00F34A47" w:rsidP="009B1702">
      <w:bookmarkStart w:id="0" w:name="_GoBack"/>
      <w:r>
        <w:t>&lt;p&gt;</w:t>
      </w:r>
      <w:r w:rsidR="00EA31D8">
        <w:t xml:space="preserve">Eine hohe Qualität sowie eine sichere Trinkwasserversorgung standen bei dieser Bewertung </w:t>
      </w:r>
      <w:r w:rsidR="00CC573B">
        <w:t xml:space="preserve">im Bereich Wasser hingegen </w:t>
      </w:r>
      <w:r w:rsidR="00EA31D8">
        <w:t xml:space="preserve">ganz weit im Vordergrund. So erfreuen sich Kunden vom SWJ beispielsweise Jahr für Jahr an einem hohen Maß an Kundenfreundlichkeit, </w:t>
      </w:r>
      <w:proofErr w:type="spellStart"/>
      <w:r w:rsidR="00EA31D8">
        <w:t>Transparzenz</w:t>
      </w:r>
      <w:proofErr w:type="spellEnd"/>
      <w:r w:rsidR="00EA31D8">
        <w:t xml:space="preserve"> und umfassenden Service-Leistungen. </w:t>
      </w:r>
      <w:r w:rsidR="00636255">
        <w:t xml:space="preserve">Im Gegensatz zur Strombewertung wird hier jedoch weniger Fokus auf den Preis der Versorgung als solches gelegt. </w:t>
      </w:r>
      <w:r w:rsidR="00EA31D8">
        <w:t xml:space="preserve">Zur Sicherstellung der Versorgung verfügen die Stadtwerke Jülich unter anderem über &lt;strong&gt;3 Tiefwasserbrunnen&lt;/strong&gt; auf dem Stadtgebiet. Informationen darüber können jederzeit auch bei den Stadtwerken Jülich selbst eingeholt werden. „Transparenz wird bei uns ganz großgeschrieben“ – so Dr. Hildegard </w:t>
      </w:r>
      <w:proofErr w:type="spellStart"/>
      <w:r w:rsidR="00EA31D8">
        <w:t>Hoecker</w:t>
      </w:r>
      <w:proofErr w:type="spellEnd"/>
      <w:r w:rsidR="00EA31D8">
        <w:t xml:space="preserve">, die Leiterin der Abteilung Kundenservice und Abrechnung bei </w:t>
      </w:r>
      <w:proofErr w:type="gramStart"/>
      <w:r w:rsidR="00EA31D8">
        <w:t>SWJ.&lt;</w:t>
      </w:r>
      <w:proofErr w:type="gramEnd"/>
      <w:r w:rsidR="00EA31D8">
        <w:t>/p&gt;</w:t>
      </w:r>
    </w:p>
    <w:bookmarkEnd w:id="0"/>
    <w:p w14:paraId="1D130CD0" w14:textId="1D933166" w:rsidR="00F34A47" w:rsidRDefault="00F34A47" w:rsidP="009B1702">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lastRenderedPageBreak/>
        <w:t xml:space="preserve">Versorgung. Transparenz wird da ganz </w:t>
      </w:r>
      <w:proofErr w:type="gramStart"/>
      <w:r w:rsidRPr="00C46B3E">
        <w:rPr>
          <w:rFonts w:ascii="Verdana" w:eastAsia="Times New Roman" w:hAnsi="Verdana" w:cs="Times New Roman"/>
          <w:color w:val="333333"/>
          <w:sz w:val="17"/>
          <w:szCs w:val="17"/>
          <w:lang w:eastAsia="de-DE"/>
        </w:rPr>
        <w:t>groß geschrieben</w:t>
      </w:r>
      <w:proofErr w:type="gramEnd"/>
      <w:r w:rsidRPr="00C46B3E">
        <w:rPr>
          <w:rFonts w:ascii="Verdana" w:eastAsia="Times New Roman" w:hAnsi="Verdana" w:cs="Times New Roman"/>
          <w:color w:val="333333"/>
          <w:sz w:val="17"/>
          <w:szCs w:val="17"/>
          <w:lang w:eastAsia="de-DE"/>
        </w:rPr>
        <w:t xml:space="preserve">“, erläutert Dr. Hildegard </w:t>
      </w:r>
      <w:proofErr w:type="spellStart"/>
      <w:r w:rsidRPr="00C46B3E">
        <w:rPr>
          <w:rFonts w:ascii="Verdana" w:eastAsia="Times New Roman" w:hAnsi="Verdana" w:cs="Times New Roman"/>
          <w:color w:val="333333"/>
          <w:sz w:val="17"/>
          <w:szCs w:val="17"/>
          <w:lang w:eastAsia="de-DE"/>
        </w:rPr>
        <w:t>Hoecker</w:t>
      </w:r>
      <w:proofErr w:type="spellEnd"/>
      <w:r w:rsidRPr="00C46B3E">
        <w:rPr>
          <w:rFonts w:ascii="Verdana" w:eastAsia="Times New Roman" w:hAnsi="Verdana" w:cs="Times New Roman"/>
          <w:color w:val="333333"/>
          <w:sz w:val="17"/>
          <w:szCs w:val="17"/>
          <w:lang w:eastAsia="de-DE"/>
        </w:rPr>
        <w:t>, Leiterin Kundenservice und Abrechnung.</w:t>
      </w:r>
    </w:p>
    <w:p w14:paraId="3622C9FE" w14:textId="6FABE3A5" w:rsidR="008F388E" w:rsidRDefault="008F388E" w:rsidP="009B1702"/>
    <w:p w14:paraId="304930FF" w14:textId="02E96A73" w:rsidR="008F388E" w:rsidRDefault="008F388E" w:rsidP="009B1702">
      <w:r w:rsidRPr="00C46B3E">
        <w:rPr>
          <w:rFonts w:ascii="Verdana" w:eastAsia="Times New Roman" w:hAnsi="Verdana" w:cs="Times New Roman"/>
          <w:color w:val="333333"/>
          <w:sz w:val="17"/>
          <w:szCs w:val="17"/>
          <w:lang w:eastAsia="de-DE"/>
        </w:rPr>
        <w:t>3. Die Bewerbung und Bewertung der Stadtwerke Jülich in der Kategorie Strom und Gas</w:t>
      </w:r>
      <w:r w:rsidRPr="00C46B3E">
        <w:rPr>
          <w:rFonts w:ascii="Verdana" w:eastAsia="Times New Roman" w:hAnsi="Verdana" w:cs="Times New Roman"/>
          <w:color w:val="333333"/>
          <w:sz w:val="17"/>
          <w:szCs w:val="17"/>
          <w:lang w:eastAsia="de-DE"/>
        </w:rPr>
        <w:br/>
        <w:t>- Nach welchen Kategorien beziehungsweise Aspekten werden die Unternehmen bewertet</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4. Die Bewertung der Stadtwerke Jülich in der Kategorie Wasser</w:t>
      </w:r>
      <w:r w:rsidRPr="00C46B3E">
        <w:rPr>
          <w:rFonts w:ascii="Verdana" w:eastAsia="Times New Roman" w:hAnsi="Verdana" w:cs="Times New Roman"/>
          <w:color w:val="333333"/>
          <w:sz w:val="17"/>
          <w:szCs w:val="17"/>
          <w:lang w:eastAsia="de-DE"/>
        </w:rPr>
        <w:br/>
        <w:t>- Nach welchen Kategorien beziehungsweise Aspekten werden die Unternehmen bewertet</w:t>
      </w:r>
      <w:r w:rsidRPr="00C46B3E">
        <w:rPr>
          <w:rFonts w:ascii="Verdana" w:eastAsia="Times New Roman" w:hAnsi="Verdana" w:cs="Times New Roman"/>
          <w:color w:val="333333"/>
          <w:sz w:val="17"/>
          <w:szCs w:val="17"/>
          <w:lang w:eastAsia="de-DE"/>
        </w:rPr>
        <w:br/>
        <w:t>- Unterschied zu der Bewertung in der Kategorie Strom und Gas</w:t>
      </w:r>
    </w:p>
    <w:p w14:paraId="2B56D473" w14:textId="558004B5" w:rsidR="00600985" w:rsidRDefault="00600985" w:rsidP="009B1702">
      <w:r w:rsidRPr="00C46B3E">
        <w:rPr>
          <w:rFonts w:ascii="Verdana" w:eastAsia="Times New Roman" w:hAnsi="Verdana" w:cs="Times New Roman"/>
          <w:color w:val="333333"/>
          <w:sz w:val="17"/>
          <w:szCs w:val="17"/>
          <w:lang w:eastAsia="de-DE"/>
        </w:rPr>
        <w:br/>
      </w:r>
    </w:p>
    <w:p w14:paraId="21A83B28" w14:textId="4DF23E14" w:rsidR="00600985" w:rsidRDefault="00600985" w:rsidP="009B1702"/>
    <w:p w14:paraId="29F9CB5E" w14:textId="77777777" w:rsidR="00600985" w:rsidRDefault="00600985" w:rsidP="00600985">
      <w:pPr>
        <w:pStyle w:val="berschrift3"/>
        <w:shd w:val="clear" w:color="auto" w:fill="FFFFFF"/>
        <w:spacing w:before="240" w:after="180"/>
        <w:rPr>
          <w:rFonts w:ascii="Rubik" w:hAnsi="Rubik"/>
          <w:color w:val="333333"/>
          <w:sz w:val="60"/>
          <w:szCs w:val="60"/>
        </w:rPr>
      </w:pPr>
      <w:r>
        <w:rPr>
          <w:rFonts w:ascii="Rubik" w:hAnsi="Rubik"/>
          <w:b/>
          <w:bCs/>
          <w:color w:val="333333"/>
          <w:sz w:val="60"/>
          <w:szCs w:val="60"/>
        </w:rPr>
        <w:t>Die Auszeichnung für Energie- und Wasserversorger</w:t>
      </w:r>
    </w:p>
    <w:p w14:paraId="6EFBA28C" w14:textId="77777777" w:rsidR="00600985" w:rsidRDefault="00600985" w:rsidP="00600985">
      <w:pPr>
        <w:pStyle w:val="StandardWeb"/>
        <w:shd w:val="clear" w:color="auto" w:fill="FFFFFF"/>
        <w:spacing w:before="0" w:beforeAutospacing="0" w:after="300" w:afterAutospacing="0"/>
        <w:rPr>
          <w:rFonts w:ascii="Rubik" w:hAnsi="Rubik"/>
          <w:color w:val="747474"/>
          <w:sz w:val="26"/>
          <w:szCs w:val="26"/>
        </w:rPr>
      </w:pPr>
      <w:r>
        <w:rPr>
          <w:rFonts w:ascii="Rubik" w:hAnsi="Rubik"/>
          <w:color w:val="747474"/>
          <w:sz w:val="26"/>
          <w:szCs w:val="26"/>
        </w:rPr>
        <w:t>Ob Strom, Gas, Wasser oder Wärme –</w:t>
      </w:r>
      <w:r>
        <w:rPr>
          <w:rFonts w:ascii="Rubik" w:hAnsi="Rubik"/>
          <w:color w:val="747474"/>
          <w:sz w:val="26"/>
          <w:szCs w:val="26"/>
        </w:rPr>
        <w:br/>
        <w:t>Das </w:t>
      </w:r>
      <w:hyperlink r:id="rId6" w:history="1">
        <w:r>
          <w:rPr>
            <w:rStyle w:val="Hyperlink"/>
            <w:rFonts w:ascii="Rubik" w:hAnsi="Rubik"/>
            <w:b/>
            <w:bCs/>
            <w:color w:val="2F576F"/>
            <w:sz w:val="26"/>
            <w:szCs w:val="26"/>
          </w:rPr>
          <w:t>Energieverbraucherportal</w:t>
        </w:r>
      </w:hyperlink>
      <w:r>
        <w:rPr>
          <w:rFonts w:ascii="Rubik" w:hAnsi="Rubik"/>
          <w:color w:val="747474"/>
          <w:sz w:val="26"/>
          <w:szCs w:val="26"/>
        </w:rPr>
        <w:t> zeichnet jedes Jahr Versorger mit dem TOP-Lokalversorger aus, die über einen günstigen Preis und gesetzlichen Vorgaben hinaus einen Mehrwert für uns alle bieten. Sie übernehmen Verantwortung bei der Versorgung der Gesellschaft und gestalten diese aktiv mit.</w:t>
      </w:r>
    </w:p>
    <w:p w14:paraId="61446938" w14:textId="77777777" w:rsidR="00600985" w:rsidRDefault="00600985" w:rsidP="009B1702"/>
    <w:p w14:paraId="206B5266" w14:textId="5044E746" w:rsidR="00185B00" w:rsidRDefault="00185B00" w:rsidP="009B1702"/>
    <w:p w14:paraId="7E69488F" w14:textId="281197E0" w:rsidR="00185B00" w:rsidRDefault="00185B00" w:rsidP="009B1702">
      <w:r w:rsidRPr="00C46B3E">
        <w:rPr>
          <w:rFonts w:ascii="Verdana" w:eastAsia="Times New Roman" w:hAnsi="Verdana" w:cs="Times New Roman"/>
          <w:color w:val="333333"/>
          <w:sz w:val="17"/>
          <w:szCs w:val="17"/>
          <w:lang w:eastAsia="de-DE"/>
        </w:rPr>
        <w:t>Jülich. Das Siegel „TOP-Lokalversorger“ zeichnet regionale Versorgungs-Unternehmen aus, die „mit Preis, Leistung und Qualität im Gesamtpaket überzeugen“. Die Stadtwerke Jülich GmbH (SWJ) hat sich in diesem Jahr erstmals den strengen Prüfungen gestellt – und wurde belohnt: sie erhielt auf Anhieb das begehrte Siegel in allen geprüften Kriterien. Damit kann sich die SWJ nun „Top-Lokalversorger“ in den Bereichen Strom, Gas und Wasser nennen.</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 xml:space="preserve">„Das ist eine sehr hohe Auszeichnung, die wir hier erhalten haben“, freut sich Vertriebs- und Marketingleiter Ivan </w:t>
      </w:r>
      <w:proofErr w:type="spellStart"/>
      <w:r w:rsidRPr="00C46B3E">
        <w:rPr>
          <w:rFonts w:ascii="Verdana" w:eastAsia="Times New Roman" w:hAnsi="Verdana" w:cs="Times New Roman"/>
          <w:color w:val="333333"/>
          <w:sz w:val="17"/>
          <w:szCs w:val="17"/>
          <w:lang w:eastAsia="de-DE"/>
        </w:rPr>
        <w:t>Ardines</w:t>
      </w:r>
      <w:proofErr w:type="spellEnd"/>
      <w:r w:rsidRPr="00C46B3E">
        <w:rPr>
          <w:rFonts w:ascii="Verdana" w:eastAsia="Times New Roman" w:hAnsi="Verdana" w:cs="Times New Roman"/>
          <w:color w:val="333333"/>
          <w:sz w:val="17"/>
          <w:szCs w:val="17"/>
          <w:lang w:eastAsia="de-DE"/>
        </w:rPr>
        <w:t>. „Umso stolzer sind wir, dass wir für alle drei Bereiche die Prüfung direkt im ersten Anlauf bestanden haben.“ Selbstverständlich ist das nicht, denn von den 615 Bewerbungen haben lediglich 266 das Siegel erhalten.</w:t>
      </w:r>
    </w:p>
    <w:p w14:paraId="1E46CA1E" w14:textId="1C00C152" w:rsidR="00624C7B" w:rsidRDefault="00227BD9" w:rsidP="00C46B3E">
      <w:r>
        <w:rPr>
          <w:rFonts w:ascii="Open Sans" w:hAnsi="Open Sans"/>
          <w:color w:val="000000"/>
          <w:sz w:val="23"/>
          <w:szCs w:val="23"/>
        </w:rPr>
        <w:t> </w:t>
      </w:r>
    </w:p>
    <w:p w14:paraId="04C34C12" w14:textId="6405347D" w:rsidR="00624C7B" w:rsidRDefault="00624C7B" w:rsidP="00C46B3E">
      <w:pPr>
        <w:rPr>
          <w:rFonts w:ascii="Verdana" w:eastAsia="Times New Roman" w:hAnsi="Verdana" w:cs="Times New Roman"/>
          <w:color w:val="333333"/>
          <w:sz w:val="17"/>
          <w:szCs w:val="17"/>
          <w:lang w:eastAsia="de-DE"/>
        </w:rPr>
      </w:pP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2. TOP Lokalversorger</w:t>
      </w:r>
      <w:r w:rsidRPr="00C46B3E">
        <w:rPr>
          <w:rFonts w:ascii="Verdana" w:eastAsia="Times New Roman" w:hAnsi="Verdana" w:cs="Times New Roman"/>
          <w:color w:val="333333"/>
          <w:sz w:val="17"/>
          <w:szCs w:val="17"/>
          <w:lang w:eastAsia="de-DE"/>
        </w:rPr>
        <w:br/>
        <w:t>- Was bedeutet das Siegel „TOP-Lokalversorger“</w:t>
      </w:r>
      <w:r w:rsidRPr="00C46B3E">
        <w:rPr>
          <w:rFonts w:ascii="Verdana" w:eastAsia="Times New Roman" w:hAnsi="Verdana" w:cs="Times New Roman"/>
          <w:color w:val="333333"/>
          <w:sz w:val="17"/>
          <w:szCs w:val="17"/>
          <w:lang w:eastAsia="de-DE"/>
        </w:rPr>
        <w:br/>
        <w:t>- TOP-Lokalversorger-Prinzip</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3. Die Bewerbung und Bewertung der Stadtwerke Jülich in der Kategorie Strom und Gas</w:t>
      </w:r>
      <w:r w:rsidRPr="00C46B3E">
        <w:rPr>
          <w:rFonts w:ascii="Verdana" w:eastAsia="Times New Roman" w:hAnsi="Verdana" w:cs="Times New Roman"/>
          <w:color w:val="333333"/>
          <w:sz w:val="17"/>
          <w:szCs w:val="17"/>
          <w:lang w:eastAsia="de-DE"/>
        </w:rPr>
        <w:br/>
        <w:t>- Nach welchen Kategorien beziehungsweise Aspekten werden die Unternehmen bewertet</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4. Die Bewertung der Stadtwerke Jülich in der Kategorie Wasser</w:t>
      </w:r>
      <w:r w:rsidRPr="00C46B3E">
        <w:rPr>
          <w:rFonts w:ascii="Verdana" w:eastAsia="Times New Roman" w:hAnsi="Verdana" w:cs="Times New Roman"/>
          <w:color w:val="333333"/>
          <w:sz w:val="17"/>
          <w:szCs w:val="17"/>
          <w:lang w:eastAsia="de-DE"/>
        </w:rPr>
        <w:br/>
        <w:t>- Nach welchen Kategorien beziehungsweise Aspekten werden die Unternehmen bewertet</w:t>
      </w:r>
      <w:r w:rsidRPr="00C46B3E">
        <w:rPr>
          <w:rFonts w:ascii="Verdana" w:eastAsia="Times New Roman" w:hAnsi="Verdana" w:cs="Times New Roman"/>
          <w:color w:val="333333"/>
          <w:sz w:val="17"/>
          <w:szCs w:val="17"/>
          <w:lang w:eastAsia="de-DE"/>
        </w:rPr>
        <w:br/>
        <w:t>- Unterschied zu der Bewertung in der Kategorie Strom und Gas</w:t>
      </w:r>
      <w:r w:rsidRPr="00C46B3E">
        <w:rPr>
          <w:rFonts w:ascii="Verdana" w:eastAsia="Times New Roman" w:hAnsi="Verdana" w:cs="Times New Roman"/>
          <w:color w:val="333333"/>
          <w:sz w:val="17"/>
          <w:szCs w:val="17"/>
          <w:lang w:eastAsia="de-DE"/>
        </w:rPr>
        <w:br/>
      </w:r>
    </w:p>
    <w:p w14:paraId="7495CD9A" w14:textId="2D85E5C1" w:rsidR="00227BD9" w:rsidRPr="00C46B3E" w:rsidRDefault="00227BD9" w:rsidP="00C46B3E">
      <w:r w:rsidRPr="00C46B3E">
        <w:rPr>
          <w:rFonts w:ascii="Verdana" w:eastAsia="Times New Roman" w:hAnsi="Verdana" w:cs="Times New Roman"/>
          <w:color w:val="333333"/>
          <w:sz w:val="17"/>
          <w:szCs w:val="17"/>
          <w:lang w:eastAsia="de-DE"/>
        </w:rPr>
        <w:lastRenderedPageBreak/>
        <w:br/>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Einige Auszeichnungen</w:t>
      </w:r>
      <w:r w:rsidRPr="00C46B3E">
        <w:rPr>
          <w:rFonts w:ascii="Verdana" w:eastAsia="Times New Roman" w:hAnsi="Verdana" w:cs="Times New Roman"/>
          <w:color w:val="333333"/>
          <w:sz w:val="17"/>
          <w:szCs w:val="17"/>
          <w:lang w:eastAsia="de-DE"/>
        </w:rPr>
        <w:br/>
        <w:t>Das Siegel des „Top-Lokalversorgers“ ergänzt die Reihe der Auszeichnungen, die die SWJ in den letzten Jahren erhalten hat. Dank Focus Money erhielt der Jülicher Energiedienstleister nicht nur das „Prädikat Silber“, sondern zählte auch sowohl zu „Deutschlands Besten – die Besten im Alltag“ als auch laut dem FAZ-Institut zu „Deutschlands besten Kundenberatern“. Außerdem gelang die Zertifizierung durch die Experten der TSM-Überprüfung („Technischen-Sicherheits-Management“), ebenfalls in den Bereichen Strom, Gas und Wasser.</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Die Top-Lokalversorger-Auszeichnung wird vom Energieverbraucherportal verliehen.</w:t>
      </w:r>
      <w:r w:rsidRPr="00C46B3E">
        <w:rPr>
          <w:rFonts w:ascii="Verdana" w:eastAsia="Times New Roman" w:hAnsi="Verdana" w:cs="Times New Roman"/>
          <w:color w:val="333333"/>
          <w:sz w:val="17"/>
          <w:szCs w:val="17"/>
          <w:lang w:eastAsia="de-DE"/>
        </w:rPr>
        <w:br/>
      </w:r>
      <w:r w:rsidRPr="00C46B3E">
        <w:rPr>
          <w:rFonts w:ascii="Verdana" w:eastAsia="Times New Roman" w:hAnsi="Verdana" w:cs="Times New Roman"/>
          <w:color w:val="333333"/>
          <w:sz w:val="17"/>
          <w:szCs w:val="17"/>
          <w:lang w:eastAsia="de-DE"/>
        </w:rPr>
        <w:br/>
        <w:t xml:space="preserve">„Das ist ein schöner Start ins neue Jahr“, freut sich SWJ-Geschäftsführer Ulf </w:t>
      </w:r>
      <w:proofErr w:type="spellStart"/>
      <w:r w:rsidRPr="00C46B3E">
        <w:rPr>
          <w:rFonts w:ascii="Verdana" w:eastAsia="Times New Roman" w:hAnsi="Verdana" w:cs="Times New Roman"/>
          <w:color w:val="333333"/>
          <w:sz w:val="17"/>
          <w:szCs w:val="17"/>
          <w:lang w:eastAsia="de-DE"/>
        </w:rPr>
        <w:t>Kamburg</w:t>
      </w:r>
      <w:proofErr w:type="spellEnd"/>
      <w:r w:rsidRPr="00C46B3E">
        <w:rPr>
          <w:rFonts w:ascii="Verdana" w:eastAsia="Times New Roman" w:hAnsi="Verdana" w:cs="Times New Roman"/>
          <w:color w:val="333333"/>
          <w:sz w:val="17"/>
          <w:szCs w:val="17"/>
          <w:lang w:eastAsia="de-DE"/>
        </w:rPr>
        <w:t>. „Wir arbeiten daran, dass dieser Auszeichnung noch möglichst viele weitere folgen werden.“</w:t>
      </w:r>
    </w:p>
    <w:sectPr w:rsidR="00227BD9" w:rsidRPr="00C46B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ubik">
    <w:altName w:val="Cambria"/>
    <w:panose1 w:val="00000000000000000000"/>
    <w:charset w:val="00"/>
    <w:family w:val="roman"/>
    <w:notTrueType/>
    <w:pitch w:val="default"/>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F2DBE"/>
    <w:multiLevelType w:val="multilevel"/>
    <w:tmpl w:val="109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015715"/>
    <w:multiLevelType w:val="multilevel"/>
    <w:tmpl w:val="F5E0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444E17"/>
    <w:multiLevelType w:val="multilevel"/>
    <w:tmpl w:val="3A7A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8"/>
  </w:num>
  <w:num w:numId="3">
    <w:abstractNumId w:val="9"/>
  </w:num>
  <w:num w:numId="4">
    <w:abstractNumId w:val="12"/>
  </w:num>
  <w:num w:numId="5">
    <w:abstractNumId w:val="10"/>
  </w:num>
  <w:num w:numId="6">
    <w:abstractNumId w:val="3"/>
  </w:num>
  <w:num w:numId="7">
    <w:abstractNumId w:val="7"/>
  </w:num>
  <w:num w:numId="8">
    <w:abstractNumId w:val="11"/>
  </w:num>
  <w:num w:numId="9">
    <w:abstractNumId w:val="1"/>
  </w:num>
  <w:num w:numId="10">
    <w:abstractNumId w:val="6"/>
  </w:num>
  <w:num w:numId="11">
    <w:abstractNumId w:val="2"/>
  </w:num>
  <w:num w:numId="12">
    <w:abstractNumId w:val="0"/>
  </w:num>
  <w:num w:numId="1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6A2"/>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09A"/>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4AD"/>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5B00"/>
    <w:rsid w:val="00186247"/>
    <w:rsid w:val="00186274"/>
    <w:rsid w:val="001864B6"/>
    <w:rsid w:val="00186C58"/>
    <w:rsid w:val="0019153F"/>
    <w:rsid w:val="001917F0"/>
    <w:rsid w:val="00192C9C"/>
    <w:rsid w:val="001933C7"/>
    <w:rsid w:val="0019345B"/>
    <w:rsid w:val="0019372C"/>
    <w:rsid w:val="00193A4E"/>
    <w:rsid w:val="00193D17"/>
    <w:rsid w:val="00193E33"/>
    <w:rsid w:val="00194D90"/>
    <w:rsid w:val="0019567A"/>
    <w:rsid w:val="00195BCF"/>
    <w:rsid w:val="00196330"/>
    <w:rsid w:val="0019793D"/>
    <w:rsid w:val="001A01AA"/>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0CF"/>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27BD9"/>
    <w:rsid w:val="002300D9"/>
    <w:rsid w:val="0023048D"/>
    <w:rsid w:val="00231567"/>
    <w:rsid w:val="002315F6"/>
    <w:rsid w:val="00231D19"/>
    <w:rsid w:val="00232DE2"/>
    <w:rsid w:val="00232E8C"/>
    <w:rsid w:val="002330FA"/>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7517"/>
    <w:rsid w:val="00277F06"/>
    <w:rsid w:val="00280E60"/>
    <w:rsid w:val="002810D2"/>
    <w:rsid w:val="002817C3"/>
    <w:rsid w:val="0028187B"/>
    <w:rsid w:val="00281B38"/>
    <w:rsid w:val="002846AC"/>
    <w:rsid w:val="00284CAD"/>
    <w:rsid w:val="00285021"/>
    <w:rsid w:val="002850FE"/>
    <w:rsid w:val="00285364"/>
    <w:rsid w:val="00285B58"/>
    <w:rsid w:val="00285E16"/>
    <w:rsid w:val="002860B8"/>
    <w:rsid w:val="0028636E"/>
    <w:rsid w:val="00287BB9"/>
    <w:rsid w:val="00293203"/>
    <w:rsid w:val="002935B5"/>
    <w:rsid w:val="00293734"/>
    <w:rsid w:val="00293FB9"/>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0A1"/>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267"/>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1C2"/>
    <w:rsid w:val="004725E2"/>
    <w:rsid w:val="004729F9"/>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50EE"/>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0985"/>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909"/>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4C7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5"/>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878DD"/>
    <w:rsid w:val="00790C49"/>
    <w:rsid w:val="00792C5A"/>
    <w:rsid w:val="00792EFF"/>
    <w:rsid w:val="007932BB"/>
    <w:rsid w:val="00793D3E"/>
    <w:rsid w:val="0079472B"/>
    <w:rsid w:val="00795D64"/>
    <w:rsid w:val="007A105E"/>
    <w:rsid w:val="007A11BC"/>
    <w:rsid w:val="007A17ED"/>
    <w:rsid w:val="007A1999"/>
    <w:rsid w:val="007A1CFF"/>
    <w:rsid w:val="007A2154"/>
    <w:rsid w:val="007A2471"/>
    <w:rsid w:val="007A2BFC"/>
    <w:rsid w:val="007A34BB"/>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04E"/>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06F"/>
    <w:rsid w:val="008935BB"/>
    <w:rsid w:val="008948B2"/>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F2F"/>
    <w:rsid w:val="008F007A"/>
    <w:rsid w:val="008F088A"/>
    <w:rsid w:val="008F103B"/>
    <w:rsid w:val="008F23B3"/>
    <w:rsid w:val="008F2AF6"/>
    <w:rsid w:val="008F2B1D"/>
    <w:rsid w:val="008F2B1F"/>
    <w:rsid w:val="008F388E"/>
    <w:rsid w:val="008F498A"/>
    <w:rsid w:val="008F4B1B"/>
    <w:rsid w:val="008F51C9"/>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391"/>
    <w:rsid w:val="00953DA5"/>
    <w:rsid w:val="00954271"/>
    <w:rsid w:val="0095432E"/>
    <w:rsid w:val="0095464F"/>
    <w:rsid w:val="009548B8"/>
    <w:rsid w:val="0095539E"/>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1981"/>
    <w:rsid w:val="009A1DB4"/>
    <w:rsid w:val="009A3A94"/>
    <w:rsid w:val="009A3EF0"/>
    <w:rsid w:val="009A439A"/>
    <w:rsid w:val="009A5AB3"/>
    <w:rsid w:val="009A6304"/>
    <w:rsid w:val="009A645C"/>
    <w:rsid w:val="009A697B"/>
    <w:rsid w:val="009A71C0"/>
    <w:rsid w:val="009A7D8E"/>
    <w:rsid w:val="009B0156"/>
    <w:rsid w:val="009B03A0"/>
    <w:rsid w:val="009B0449"/>
    <w:rsid w:val="009B1447"/>
    <w:rsid w:val="009B1702"/>
    <w:rsid w:val="009B23E9"/>
    <w:rsid w:val="009B2773"/>
    <w:rsid w:val="009B2B76"/>
    <w:rsid w:val="009B3222"/>
    <w:rsid w:val="009B36C7"/>
    <w:rsid w:val="009B416C"/>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90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6580"/>
    <w:rsid w:val="00A970DF"/>
    <w:rsid w:val="00A97D15"/>
    <w:rsid w:val="00A97EA3"/>
    <w:rsid w:val="00AA2C4A"/>
    <w:rsid w:val="00AA2C85"/>
    <w:rsid w:val="00AA2DEE"/>
    <w:rsid w:val="00AA304E"/>
    <w:rsid w:val="00AA3402"/>
    <w:rsid w:val="00AA36ED"/>
    <w:rsid w:val="00AA3915"/>
    <w:rsid w:val="00AA4010"/>
    <w:rsid w:val="00AA4245"/>
    <w:rsid w:val="00AA46D7"/>
    <w:rsid w:val="00AA4B91"/>
    <w:rsid w:val="00AA5E58"/>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46B3E"/>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73B"/>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DE1"/>
    <w:rsid w:val="00D12795"/>
    <w:rsid w:val="00D12B5D"/>
    <w:rsid w:val="00D13540"/>
    <w:rsid w:val="00D1515B"/>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A42"/>
    <w:rsid w:val="00D3288F"/>
    <w:rsid w:val="00D331D4"/>
    <w:rsid w:val="00D34AD4"/>
    <w:rsid w:val="00D3548B"/>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A79"/>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8DA"/>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1D8"/>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11C"/>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A4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06C"/>
    <w:rsid w:val="00FA60CD"/>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0897096">
      <w:bodyDiv w:val="1"/>
      <w:marLeft w:val="0"/>
      <w:marRight w:val="0"/>
      <w:marTop w:val="0"/>
      <w:marBottom w:val="0"/>
      <w:divBdr>
        <w:top w:val="none" w:sz="0" w:space="0" w:color="auto"/>
        <w:left w:val="none" w:sz="0" w:space="0" w:color="auto"/>
        <w:bottom w:val="none" w:sz="0" w:space="0" w:color="auto"/>
        <w:right w:val="none" w:sz="0" w:space="0" w:color="auto"/>
      </w:divBdr>
      <w:divsChild>
        <w:div w:id="1653368910">
          <w:marLeft w:val="0"/>
          <w:marRight w:val="0"/>
          <w:marTop w:val="0"/>
          <w:marBottom w:val="0"/>
          <w:divBdr>
            <w:top w:val="none" w:sz="0" w:space="0" w:color="auto"/>
            <w:left w:val="none" w:sz="0" w:space="0" w:color="auto"/>
            <w:bottom w:val="none" w:sz="0" w:space="0" w:color="auto"/>
            <w:right w:val="none" w:sz="0" w:space="0" w:color="auto"/>
          </w:divBdr>
        </w:div>
        <w:div w:id="697898416">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5852218">
      <w:bodyDiv w:val="1"/>
      <w:marLeft w:val="0"/>
      <w:marRight w:val="0"/>
      <w:marTop w:val="0"/>
      <w:marBottom w:val="0"/>
      <w:divBdr>
        <w:top w:val="none" w:sz="0" w:space="0" w:color="auto"/>
        <w:left w:val="none" w:sz="0" w:space="0" w:color="auto"/>
        <w:bottom w:val="none" w:sz="0" w:space="0" w:color="auto"/>
        <w:right w:val="none" w:sz="0" w:space="0" w:color="auto"/>
      </w:divBdr>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78891090">
      <w:bodyDiv w:val="1"/>
      <w:marLeft w:val="0"/>
      <w:marRight w:val="0"/>
      <w:marTop w:val="0"/>
      <w:marBottom w:val="0"/>
      <w:divBdr>
        <w:top w:val="none" w:sz="0" w:space="0" w:color="auto"/>
        <w:left w:val="none" w:sz="0" w:space="0" w:color="auto"/>
        <w:bottom w:val="none" w:sz="0" w:space="0" w:color="auto"/>
        <w:right w:val="none" w:sz="0" w:space="0" w:color="auto"/>
      </w:divBdr>
      <w:divsChild>
        <w:div w:id="301811901">
          <w:marLeft w:val="-225"/>
          <w:marRight w:val="-225"/>
          <w:marTop w:val="0"/>
          <w:marBottom w:val="0"/>
          <w:divBdr>
            <w:top w:val="none" w:sz="0" w:space="0" w:color="auto"/>
            <w:left w:val="none" w:sz="0" w:space="0" w:color="auto"/>
            <w:bottom w:val="none" w:sz="0" w:space="0" w:color="auto"/>
            <w:right w:val="none" w:sz="0" w:space="0" w:color="auto"/>
          </w:divBdr>
          <w:divsChild>
            <w:div w:id="1302273537">
              <w:marLeft w:val="0"/>
              <w:marRight w:val="0"/>
              <w:marTop w:val="0"/>
              <w:marBottom w:val="0"/>
              <w:divBdr>
                <w:top w:val="none" w:sz="0" w:space="0" w:color="auto"/>
                <w:left w:val="none" w:sz="0" w:space="0" w:color="auto"/>
                <w:bottom w:val="none" w:sz="0" w:space="0" w:color="auto"/>
                <w:right w:val="none" w:sz="0" w:space="0" w:color="auto"/>
              </w:divBdr>
              <w:divsChild>
                <w:div w:id="758522541">
                  <w:marLeft w:val="0"/>
                  <w:marRight w:val="0"/>
                  <w:marTop w:val="0"/>
                  <w:marBottom w:val="0"/>
                  <w:divBdr>
                    <w:top w:val="none" w:sz="0" w:space="0" w:color="auto"/>
                    <w:left w:val="none" w:sz="0" w:space="0" w:color="auto"/>
                    <w:bottom w:val="none" w:sz="0" w:space="0" w:color="auto"/>
                    <w:right w:val="none" w:sz="0" w:space="0" w:color="auto"/>
                  </w:divBdr>
                  <w:divsChild>
                    <w:div w:id="270750593">
                      <w:marLeft w:val="0"/>
                      <w:marRight w:val="0"/>
                      <w:marTop w:val="0"/>
                      <w:marBottom w:val="0"/>
                      <w:divBdr>
                        <w:top w:val="none" w:sz="0" w:space="0" w:color="auto"/>
                        <w:left w:val="none" w:sz="0" w:space="0" w:color="auto"/>
                        <w:bottom w:val="none" w:sz="0" w:space="0" w:color="auto"/>
                        <w:right w:val="none" w:sz="0" w:space="0" w:color="auto"/>
                      </w:divBdr>
                      <w:divsChild>
                        <w:div w:id="994838140">
                          <w:marLeft w:val="0"/>
                          <w:marRight w:val="0"/>
                          <w:marTop w:val="0"/>
                          <w:marBottom w:val="0"/>
                          <w:divBdr>
                            <w:top w:val="none" w:sz="0" w:space="0" w:color="auto"/>
                            <w:left w:val="none" w:sz="0" w:space="0" w:color="auto"/>
                            <w:bottom w:val="none" w:sz="0" w:space="0" w:color="auto"/>
                            <w:right w:val="none" w:sz="0" w:space="0" w:color="auto"/>
                          </w:divBdr>
                          <w:divsChild>
                            <w:div w:id="666981140">
                              <w:marLeft w:val="0"/>
                              <w:marRight w:val="0"/>
                              <w:marTop w:val="0"/>
                              <w:marBottom w:val="150"/>
                              <w:divBdr>
                                <w:top w:val="none" w:sz="0" w:space="0" w:color="auto"/>
                                <w:left w:val="none" w:sz="0" w:space="0" w:color="auto"/>
                                <w:bottom w:val="none" w:sz="0" w:space="0" w:color="auto"/>
                                <w:right w:val="none" w:sz="0" w:space="0" w:color="auto"/>
                              </w:divBdr>
                              <w:divsChild>
                                <w:div w:id="539977950">
                                  <w:marLeft w:val="0"/>
                                  <w:marRight w:val="0"/>
                                  <w:marTop w:val="0"/>
                                  <w:marBottom w:val="0"/>
                                  <w:divBdr>
                                    <w:top w:val="none" w:sz="0" w:space="0" w:color="auto"/>
                                    <w:left w:val="none" w:sz="0" w:space="0" w:color="auto"/>
                                    <w:bottom w:val="none" w:sz="0" w:space="0" w:color="auto"/>
                                    <w:right w:val="none" w:sz="0" w:space="0" w:color="auto"/>
                                  </w:divBdr>
                                  <w:divsChild>
                                    <w:div w:id="1095321095">
                                      <w:marLeft w:val="0"/>
                                      <w:marRight w:val="0"/>
                                      <w:marTop w:val="0"/>
                                      <w:marBottom w:val="0"/>
                                      <w:divBdr>
                                        <w:top w:val="none" w:sz="0" w:space="0" w:color="auto"/>
                                        <w:left w:val="none" w:sz="0" w:space="0" w:color="auto"/>
                                        <w:bottom w:val="none" w:sz="0" w:space="0" w:color="auto"/>
                                        <w:right w:val="none" w:sz="0" w:space="0" w:color="auto"/>
                                      </w:divBdr>
                                      <w:divsChild>
                                        <w:div w:id="9778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23683">
                          <w:marLeft w:val="0"/>
                          <w:marRight w:val="0"/>
                          <w:marTop w:val="0"/>
                          <w:marBottom w:val="0"/>
                          <w:divBdr>
                            <w:top w:val="none" w:sz="0" w:space="0" w:color="auto"/>
                            <w:left w:val="none" w:sz="0" w:space="0" w:color="auto"/>
                            <w:bottom w:val="none" w:sz="0" w:space="0" w:color="auto"/>
                            <w:right w:val="none" w:sz="0" w:space="0" w:color="auto"/>
                          </w:divBdr>
                          <w:divsChild>
                            <w:div w:id="1532692634">
                              <w:marLeft w:val="0"/>
                              <w:marRight w:val="0"/>
                              <w:marTop w:val="0"/>
                              <w:marBottom w:val="525"/>
                              <w:divBdr>
                                <w:top w:val="none" w:sz="0" w:space="0" w:color="auto"/>
                                <w:left w:val="none" w:sz="0" w:space="0" w:color="auto"/>
                                <w:bottom w:val="none" w:sz="0" w:space="0" w:color="auto"/>
                                <w:right w:val="none" w:sz="0" w:space="0" w:color="auto"/>
                              </w:divBdr>
                              <w:divsChild>
                                <w:div w:id="1033505558">
                                  <w:marLeft w:val="0"/>
                                  <w:marRight w:val="0"/>
                                  <w:marTop w:val="0"/>
                                  <w:marBottom w:val="600"/>
                                  <w:divBdr>
                                    <w:top w:val="none" w:sz="0" w:space="0" w:color="auto"/>
                                    <w:left w:val="none" w:sz="0" w:space="0" w:color="auto"/>
                                    <w:bottom w:val="none" w:sz="0" w:space="0" w:color="auto"/>
                                    <w:right w:val="none" w:sz="0" w:space="0" w:color="auto"/>
                                  </w:divBdr>
                                  <w:divsChild>
                                    <w:div w:id="40418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296331">
                              <w:marLeft w:val="0"/>
                              <w:marRight w:val="0"/>
                              <w:marTop w:val="0"/>
                              <w:marBottom w:val="150"/>
                              <w:divBdr>
                                <w:top w:val="none" w:sz="0" w:space="0" w:color="auto"/>
                                <w:left w:val="none" w:sz="0" w:space="0" w:color="auto"/>
                                <w:bottom w:val="none" w:sz="0" w:space="0" w:color="auto"/>
                                <w:right w:val="none" w:sz="0" w:space="0" w:color="auto"/>
                              </w:divBdr>
                              <w:divsChild>
                                <w:div w:id="670448548">
                                  <w:marLeft w:val="0"/>
                                  <w:marRight w:val="0"/>
                                  <w:marTop w:val="0"/>
                                  <w:marBottom w:val="0"/>
                                  <w:divBdr>
                                    <w:top w:val="none" w:sz="0" w:space="0" w:color="auto"/>
                                    <w:left w:val="none" w:sz="0" w:space="0" w:color="auto"/>
                                    <w:bottom w:val="none" w:sz="0" w:space="0" w:color="auto"/>
                                    <w:right w:val="none" w:sz="0" w:space="0" w:color="auto"/>
                                  </w:divBdr>
                                  <w:divsChild>
                                    <w:div w:id="1505657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61721">
      <w:bodyDiv w:val="1"/>
      <w:marLeft w:val="0"/>
      <w:marRight w:val="0"/>
      <w:marTop w:val="0"/>
      <w:marBottom w:val="0"/>
      <w:divBdr>
        <w:top w:val="none" w:sz="0" w:space="0" w:color="auto"/>
        <w:left w:val="none" w:sz="0" w:space="0" w:color="auto"/>
        <w:bottom w:val="none" w:sz="0" w:space="0" w:color="auto"/>
        <w:right w:val="none" w:sz="0" w:space="0" w:color="auto"/>
      </w:divBdr>
      <w:divsChild>
        <w:div w:id="922766405">
          <w:marLeft w:val="0"/>
          <w:marRight w:val="0"/>
          <w:marTop w:val="0"/>
          <w:marBottom w:val="0"/>
          <w:divBdr>
            <w:top w:val="none" w:sz="0" w:space="0" w:color="auto"/>
            <w:left w:val="none" w:sz="0" w:space="0" w:color="auto"/>
            <w:bottom w:val="none" w:sz="0" w:space="0" w:color="auto"/>
            <w:right w:val="none" w:sz="0" w:space="0" w:color="auto"/>
          </w:divBdr>
        </w:div>
        <w:div w:id="849490191">
          <w:marLeft w:val="0"/>
          <w:marRight w:val="0"/>
          <w:marTop w:val="0"/>
          <w:marBottom w:val="0"/>
          <w:divBdr>
            <w:top w:val="none" w:sz="0" w:space="0" w:color="auto"/>
            <w:left w:val="none" w:sz="0" w:space="0" w:color="auto"/>
            <w:bottom w:val="none" w:sz="0" w:space="0" w:color="auto"/>
            <w:right w:val="none" w:sz="0" w:space="0" w:color="auto"/>
          </w:divBdr>
        </w:div>
        <w:div w:id="1013458111">
          <w:marLeft w:val="0"/>
          <w:marRight w:val="0"/>
          <w:marTop w:val="0"/>
          <w:marBottom w:val="0"/>
          <w:divBdr>
            <w:top w:val="none" w:sz="0" w:space="0" w:color="auto"/>
            <w:left w:val="none" w:sz="0" w:space="0" w:color="auto"/>
            <w:bottom w:val="none" w:sz="0" w:space="0" w:color="auto"/>
            <w:right w:val="none" w:sz="0" w:space="0" w:color="auto"/>
          </w:divBdr>
        </w:div>
      </w:divsChild>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3523057">
      <w:bodyDiv w:val="1"/>
      <w:marLeft w:val="0"/>
      <w:marRight w:val="0"/>
      <w:marTop w:val="0"/>
      <w:marBottom w:val="0"/>
      <w:divBdr>
        <w:top w:val="none" w:sz="0" w:space="0" w:color="auto"/>
        <w:left w:val="none" w:sz="0" w:space="0" w:color="auto"/>
        <w:bottom w:val="none" w:sz="0" w:space="0" w:color="auto"/>
        <w:right w:val="none" w:sz="0" w:space="0" w:color="auto"/>
      </w:divBdr>
      <w:divsChild>
        <w:div w:id="1376151733">
          <w:marLeft w:val="0"/>
          <w:marRight w:val="0"/>
          <w:marTop w:val="0"/>
          <w:marBottom w:val="0"/>
          <w:divBdr>
            <w:top w:val="none" w:sz="0" w:space="0" w:color="auto"/>
            <w:left w:val="none" w:sz="0" w:space="0" w:color="auto"/>
            <w:bottom w:val="none" w:sz="0" w:space="0" w:color="auto"/>
            <w:right w:val="none" w:sz="0" w:space="0" w:color="auto"/>
          </w:divBdr>
        </w:div>
      </w:divsChild>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1986204">
      <w:bodyDiv w:val="1"/>
      <w:marLeft w:val="0"/>
      <w:marRight w:val="0"/>
      <w:marTop w:val="0"/>
      <w:marBottom w:val="0"/>
      <w:divBdr>
        <w:top w:val="none" w:sz="0" w:space="0" w:color="auto"/>
        <w:left w:val="none" w:sz="0" w:space="0" w:color="auto"/>
        <w:bottom w:val="none" w:sz="0" w:space="0" w:color="auto"/>
        <w:right w:val="none" w:sz="0" w:space="0" w:color="auto"/>
      </w:divBdr>
      <w:divsChild>
        <w:div w:id="189727516">
          <w:marLeft w:val="0"/>
          <w:marRight w:val="0"/>
          <w:marTop w:val="0"/>
          <w:marBottom w:val="0"/>
          <w:divBdr>
            <w:top w:val="none" w:sz="0" w:space="0" w:color="auto"/>
            <w:left w:val="none" w:sz="0" w:space="0" w:color="auto"/>
            <w:bottom w:val="none" w:sz="0" w:space="0" w:color="auto"/>
            <w:right w:val="none" w:sz="0" w:space="0" w:color="auto"/>
          </w:divBdr>
        </w:div>
        <w:div w:id="1288048063">
          <w:marLeft w:val="0"/>
          <w:marRight w:val="0"/>
          <w:marTop w:val="0"/>
          <w:marBottom w:val="0"/>
          <w:divBdr>
            <w:top w:val="none" w:sz="0" w:space="0" w:color="auto"/>
            <w:left w:val="none" w:sz="0" w:space="0" w:color="auto"/>
            <w:bottom w:val="none" w:sz="0" w:space="0" w:color="auto"/>
            <w:right w:val="none" w:sz="0" w:space="0" w:color="auto"/>
          </w:divBdr>
        </w:div>
      </w:divsChild>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1860940">
      <w:bodyDiv w:val="1"/>
      <w:marLeft w:val="0"/>
      <w:marRight w:val="0"/>
      <w:marTop w:val="0"/>
      <w:marBottom w:val="0"/>
      <w:divBdr>
        <w:top w:val="none" w:sz="0" w:space="0" w:color="auto"/>
        <w:left w:val="none" w:sz="0" w:space="0" w:color="auto"/>
        <w:bottom w:val="none" w:sz="0" w:space="0" w:color="auto"/>
        <w:right w:val="none" w:sz="0" w:space="0" w:color="auto"/>
      </w:divBdr>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op-lokalversorger.de/ueber-un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7030E-0B27-40E6-A37E-DBAA04A1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1668</Words>
  <Characters>10513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3721</cp:revision>
  <dcterms:created xsi:type="dcterms:W3CDTF">2020-03-02T10:25:00Z</dcterms:created>
  <dcterms:modified xsi:type="dcterms:W3CDTF">2021-02-01T06:10:00Z</dcterms:modified>
</cp:coreProperties>
</file>